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3.jpeg" ContentType="image/jpeg"/>
  <Override PartName="/word/media/image2.jpeg" ContentType="image/jpeg"/>
  <Override PartName="/word/media/image4.jpeg" ContentType="image/jpeg"/>
  <Override PartName="/word/media/image5.jpeg" ContentType="image/jpeg"/>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Berschrift1"/>
        <w:numPr>
          <w:ilvl w:val="0"/>
          <w:numId w:val="4"/>
        </w:numPr>
        <w:spacing w:before="240" w:after="120"/>
        <w:ind w:left="0" w:right="0" w:hanging="0"/>
        <w:rPr/>
      </w:pPr>
      <w:r>
        <w:drawing>
          <wp:anchor behindDoc="0" distT="0" distB="0" distL="0" distR="0" simplePos="0" locked="0" layoutInCell="1" allowOverlap="1" relativeHeight="6">
            <wp:simplePos x="0" y="0"/>
            <wp:positionH relativeFrom="page">
              <wp:posOffset>735330</wp:posOffset>
            </wp:positionH>
            <wp:positionV relativeFrom="page">
              <wp:posOffset>5937250</wp:posOffset>
            </wp:positionV>
            <wp:extent cx="2778760" cy="1871345"/>
            <wp:effectExtent l="0" t="0" r="0" b="0"/>
            <wp:wrapSquare wrapText="largest"/>
            <wp:docPr id="1" name="Bild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5" descr=""/>
                    <pic:cNvPicPr>
                      <a:picLocks noChangeAspect="1" noChangeArrowheads="1"/>
                    </pic:cNvPicPr>
                  </pic:nvPicPr>
                  <pic:blipFill>
                    <a:blip r:embed="rId2"/>
                    <a:srcRect l="0" t="0" r="-638" b="0"/>
                    <a:stretch>
                      <a:fillRect/>
                    </a:stretch>
                  </pic:blipFill>
                  <pic:spPr bwMode="auto">
                    <a:xfrm>
                      <a:off x="0" y="0"/>
                      <a:ext cx="2778760" cy="1871345"/>
                    </a:xfrm>
                    <a:prstGeom prst="rect">
                      <a:avLst/>
                    </a:prstGeom>
                  </pic:spPr>
                </pic:pic>
              </a:graphicData>
            </a:graphic>
          </wp:anchor>
        </w:drawing>
      </w:r>
      <w:r>
        <w:rPr/>
        <w:t>U</w:t>
      </w:r>
      <w:r>
        <w:rPr/>
        <w:t>nterrichtsgang: Wirkungsspektrum der Fotosynthese</w:t>
      </w:r>
    </w:p>
    <w:p>
      <w:pPr>
        <w:pStyle w:val="Berschrift2"/>
        <w:numPr>
          <w:ilvl w:val="1"/>
          <w:numId w:val="2"/>
        </w:numPr>
        <w:ind w:left="0" w:right="0" w:hanging="0"/>
        <w:rPr/>
      </w:pPr>
      <w:r>
        <w:rPr/>
        <w:t>Vorbemerkungen</w:t>
      </w:r>
    </w:p>
    <w:p>
      <w:pPr>
        <w:pStyle w:val="Textkrper"/>
        <w:rPr/>
      </w:pPr>
      <w:r>
        <w:rPr/>
        <w:t>In dieser an das Schülerpraktikum anschließenden Stunde werden die Praktikumsinhalte nochmals aufgenommen, indem mit der Rohchlorophylllösung weitergearbeitet wird (Demonstrationsversuch). Zunächst wird mit Hilfe eines Prismas weißes Licht in die Spektralfarben zerlegt. Während das Spektrum projiziert bleibt wird eine dünne Schicht der Chlorophylllösung in den Strahlengang gebracht und die Auswirkung auf das Spektrum gezeigt (bestimmte Spektralbereiche sind nicht mehr sichtbar). So wird das Absorptionsspektrum eingeführt und damit die Grundlage geschaffen für die anschließende theoretische Bearbeitung des Engelmann-Experiments zum Zusammenhang von Bakterienwachstum in räumlicher Nähe zu einer mit Licht unterschiedlicher Wellenlängen bestrahlten Alge. Dadurch kann nun auf das Wirkungsspektrum der Fotosynthese gefolgert werden. Dies markiert den Übergang zu einer Serie historischer Experimente zur Aufklärung der Vorgänge bei der Fotosynthese (in den folgenden beiden Stunden).</w:t>
      </w:r>
    </w:p>
    <w:p>
      <w:pPr>
        <w:pStyle w:val="Textkrper"/>
        <w:rPr/>
      </w:pPr>
      <w:r>
        <w:rPr/>
        <w:t>An der Rohchlorophylllösung wird abschließend noch die Rotfluoreszenz nach Bestrahlung mit weißem Licht demonstriert. Damit soll das komplexe Konzept der „Anregung“ des Chlorophyllmoleküls visualisiert und verankert werden, was für das Verständnis der Teilreaktionen der Fotosynthese notwendig ist. Eine vertiefte Kenntnis der zugrunde liegenden physikalischen Prozesse ist jedoch nicht vorgesehen und keine notwendige Vorraussetzung für die folgenden Stunden.</w:t>
      </w:r>
    </w:p>
    <w:p>
      <w:pPr>
        <w:pStyle w:val="Berschrift2"/>
        <w:numPr>
          <w:ilvl w:val="1"/>
          <w:numId w:val="2"/>
        </w:numPr>
        <w:ind w:left="0" w:right="0" w:hanging="0"/>
        <w:rPr/>
      </w:pPr>
      <w:r>
        <w:rPr/>
        <w:t>Sachanalyse</w:t>
      </w:r>
    </w:p>
    <w:p>
      <w:pPr>
        <w:pStyle w:val="Textkrper"/>
        <w:rPr/>
      </w:pPr>
      <w:r>
        <w:rPr/>
        <w:t xml:space="preserve">Das </w:t>
      </w:r>
      <w:r>
        <w:rPr>
          <w:b/>
          <w:bCs/>
          <w:i/>
          <w:iCs/>
        </w:rPr>
        <w:t>Farbspektrum</w:t>
      </w:r>
      <w:r>
        <w:rPr/>
        <w:t xml:space="preserve"> ist der für den Menschen sichtbare Anteil des elektromagnetischen Spektrums (= Gesamtheit aller elektromagnetischen (EM) Wellen verschiedener Wellenlängen). Das Farbspektrum kann durch Brechung eines breitbandigen (weißen) Lichtstrahls an einem Dispersionsprisma sichtbar gemacht werden, da der Brechungsindex wellenlängenabhängig ist. Der Lichtstrahl wird also in wellenlängengleiche EM-Wellen aufgespalten und das Spektrum der Lichtquelle zeigt sich als Abfolge monochromatischer Banden.</w:t>
      </w:r>
    </w:p>
    <w:p>
      <w:pPr>
        <w:pStyle w:val="Textkrper"/>
        <w:rPr/>
      </w:pPr>
      <w:hyperlink r:id="rId3">
        <w:r>
          <w:rPr/>
          <w:t xml:space="preserve">Durchdringt breitbandiges Licht Materie, so werden Photonen bestimmter Wellenlängen absorbiert. Licht dieser Wellenlängen fehlt dann im Farbspektrum, die entsprechenden Banden erscheinen dann dunkel. Wird wie im hier beschriebenen Versuch Chlorophyll in den Strahlengang des breitbandigen Lichts gebracht und der Lichtstrahl dann gebrochen, zeigt sich das </w:t>
        </w:r>
      </w:hyperlink>
      <w:r>
        <w:rPr>
          <w:b/>
          <w:bCs/>
          <w:i/>
          <w:iCs/>
        </w:rPr>
        <w:t>Absorptionsspektrum</w:t>
      </w:r>
      <w:r>
        <w:rPr/>
        <w:t xml:space="preserve"> des Chlorohylls – bestimmte Wellenlängenbereiche sind nicht mehr zu sehen.</w:t>
      </w:r>
    </w:p>
    <w:p>
      <w:pPr>
        <w:pStyle w:val="Textkrper"/>
        <w:rPr/>
      </w:pPr>
      <w:r>
        <w:rPr/>
      </w:r>
    </w:p>
    <w:p>
      <w:pPr>
        <w:pStyle w:val="Textkrper"/>
        <w:rPr/>
      </w:pPr>
      <w:r>
        <w:rPr/>
        <mc:AlternateContent>
          <mc:Choice Requires="wps">
            <w:drawing>
              <wp:anchor behindDoc="0" distT="0" distB="0" distL="0" distR="0" simplePos="0" locked="0" layoutInCell="1" allowOverlap="1" relativeHeight="7">
                <wp:simplePos x="0" y="0"/>
                <wp:positionH relativeFrom="column">
                  <wp:posOffset>34290</wp:posOffset>
                </wp:positionH>
                <wp:positionV relativeFrom="paragraph">
                  <wp:posOffset>17780</wp:posOffset>
                </wp:positionV>
                <wp:extent cx="1556385" cy="168275"/>
                <wp:effectExtent l="0" t="0" r="0" b="0"/>
                <wp:wrapNone/>
                <wp:docPr id="2" name="Form1"/>
                <a:graphic xmlns:a="http://schemas.openxmlformats.org/drawingml/2006/main">
                  <a:graphicData uri="http://schemas.microsoft.com/office/word/2010/wordprocessingShape">
                    <wps:wsp>
                      <wps:cNvSpPr txBox="1"/>
                      <wps:spPr>
                        <a:xfrm>
                          <a:off x="0" y="0"/>
                          <a:ext cx="1555920" cy="167760"/>
                        </a:xfrm>
                        <a:prstGeom prst="rect">
                          <a:avLst/>
                        </a:prstGeom>
                        <a:noFill/>
                        <a:ln>
                          <a:noFill/>
                        </a:ln>
                      </wps:spPr>
                      <wps:txbx>
                        <w:txbxContent>
                          <w:p>
                            <w:pPr>
                              <w:rPr/>
                            </w:pPr>
                            <w:r>
                              <w:rPr>
                                <w:kern w:val="2"/>
                                <w:sz w:val="16"/>
                                <w:szCs w:val="16"/>
                                <w:rFonts w:eastAsia="Noto Sans CJK SC" w:cs="Lohit Devanagari" w:ascii="Arial" w:hAnsi="Arial"/>
                                <w:lang w:bidi="hi-IN"/>
                              </w:rPr>
                              <w:t>Foto und Grafik: A. Theil-Schiebel</w:t>
                            </w:r>
                          </w:p>
                        </w:txbxContent>
                      </wps:txbx>
                      <wps:bodyPr wrap="square" lIns="0" rIns="0" tIns="0" bIns="0">
                        <a:spAutoFit/>
                      </wps:bodyPr>
                    </wps:wsp>
                  </a:graphicData>
                </a:graphic>
              </wp:anchor>
            </w:drawing>
          </mc:Choice>
          <mc:Fallback>
            <w:pict>
              <v:shapetype id="_x0000_t202" coordsize="21600,21600" o:spt="202" path="m,l,21600l21600,21600l21600,xe">
                <v:stroke joinstyle="miter"/>
                <v:path gradientshapeok="t" o:connecttype="rect"/>
              </v:shapetype>
              <v:shape id="shape_0" ID="Form1" stroked="f" style="position:absolute;margin-left:2.7pt;margin-top:1.4pt;width:122.45pt;height:13.15pt" type="shapetype_202">
                <v:textbox>
                  <w:txbxContent>
                    <w:p>
                      <w:pPr>
                        <w:rPr/>
                      </w:pPr>
                      <w:r>
                        <w:rPr>
                          <w:kern w:val="2"/>
                          <w:sz w:val="16"/>
                          <w:szCs w:val="16"/>
                          <w:rFonts w:eastAsia="Noto Sans CJK SC" w:cs="Lohit Devanagari" w:ascii="Arial" w:hAnsi="Arial"/>
                          <w:lang w:bidi="hi-IN"/>
                        </w:rPr>
                        <w:t>Foto und Grafik: A. Theil-Schiebel</w:t>
                      </w:r>
                    </w:p>
                  </w:txbxContent>
                </v:textbox>
                <w10:wrap type="square"/>
                <v:fill o:detectmouseclick="t" on="false"/>
                <v:stroke color="black" joinstyle="round" endcap="flat"/>
              </v:shape>
            </w:pict>
          </mc:Fallback>
        </mc:AlternateContent>
      </w:r>
    </w:p>
    <w:p>
      <w:pPr>
        <w:pStyle w:val="Textkrper"/>
        <w:rPr/>
      </w:pPr>
      <w:r>
        <w:rPr/>
        <w:t xml:space="preserve">Die Absorptionsspektren von gelösten Chlorophyllen besitzen zwei ausgeprägte Absorptionsmaxima, eines zwischen 600 und 800 nm („rot“) und eines um 400 nm („blau“). Es ist deshalb zu erwarten, dass das Absorptionsspektrum in diesen Wellenlängen dunkle Bereiche aufweist. Grünes Licht wird kaum absorbiert, was erklärt, dass Pflanzen auf Grund ihres Chlorophyllgehalts grün erscheinen. </w:t>
      </w:r>
    </w:p>
    <w:p>
      <w:pPr>
        <w:pStyle w:val="Textkrper"/>
        <w:rPr/>
      </w:pPr>
      <w:r>
        <w:rPr/>
        <w:t xml:space="preserve">Im </w:t>
      </w:r>
      <w:r>
        <w:rPr>
          <w:b w:val="false"/>
          <w:bCs w:val="false"/>
        </w:rPr>
        <w:t>Engelmannschen Bakterienversuch</w:t>
      </w:r>
      <w:r>
        <w:rPr/>
        <w:t xml:space="preserve"> wird die lichtabhängige Sauerstoffbildung bei der Fotosynthese in verschiedenen Bereichen des Farbspektrums näherungsweise quantifiziert, indem ein Lichtstrahl durch ein Prisma gebrochen wird und das entstehende Spektrum auf einen dünnen Algenfaden in einem bakterienhaltigen Medium projiziert wird. Die Bakterien reagieren positiv chemotaktisch auf Sauerstoff. Je nach Farbe des Lichts, das auf den Algenfaden trifft, produziert dieser mehr oder weniger Sauerstoff, worauf sich die Bakterien mehr oder weniger zahlreich an den betreffenden Stellen ansammeln. Die Anzahl der angesammelten Bakterien dient als ungefähres Maß für die Fotosyntheserate, die der Sauerstoffproduktionsrate entspricht. Der Versuch zeigt, dass die höchste Fotosyntheserate ungefähr mit den Bereichen der Absorptionsmaxima des Chlorophylls korreliert. Die Fotosyntheserate in Abhängigkeit von der Wellenlänge des Lichts wird als </w:t>
      </w:r>
      <w:r>
        <w:rPr>
          <w:b/>
          <w:bCs/>
          <w:i/>
          <w:iCs/>
        </w:rPr>
        <w:t>Wirkungsspektrum</w:t>
      </w:r>
      <w:r>
        <w:rPr/>
        <w:t xml:space="preserve"> der Fotosynthese bezeichnet.</w:t>
      </w:r>
    </w:p>
    <w:p>
      <w:pPr>
        <w:pStyle w:val="Textkrper"/>
        <w:rPr/>
      </w:pPr>
      <w:r>
        <w:rPr/>
        <w:t xml:space="preserve">Die Chlorophyllmoleküle werden durch die Absorption von Lichtenergie energetisch angeregt, d.h. Elektronen gehen auf ein höheres Energieniveau über. Dabei erzeugt eine Anregung durch blaues Licht den energiereichen zweiten Singulettzustand, wohingegen die Anregung im Rotlichtbereich den ersten Singulettzustand der betreffenden Elektronen erzeugt. Der zweite Singulettzustand kann unter Abgabe von Wärme in den ersten Singulettzustand übergehen. Die im Vergleich zum Grundzustand höhere Energie des ersten Singulettzustands wird zum Einen zwischen den Chlorophyllmolekülen in den Lichtsammelkomplexen übertragen (quantenphysikalisch handelt es sich um einen Excitonentransfer), zum Anderen ermöglicht sie direkt die Elektronenübertragung von Chlorophyll in den Reaktionszentren der Fotosysteme II auf den Primärakzeptor. Bei diesen Vorgängen kommt es wie bei allen physikalischen Umwandlungsprozessen zu einer Verlustleistung, d.h. ein Teil der Energie wird von den Chlorophyllmolekülen auch in Form Wärme, Phosphoreszenz und </w:t>
      </w:r>
      <w:r>
        <w:rPr>
          <w:b/>
          <w:bCs/>
          <w:i/>
          <w:iCs/>
        </w:rPr>
        <w:t>Fluoreszenz</w:t>
      </w:r>
      <w:r>
        <w:rPr/>
        <w:t xml:space="preserve"> (Emmission von Photonen im längerwelligen (= roten) Bereich, die direkt auf die Lichtabsorption folgt) abgegeben. </w:t>
      </w:r>
    </w:p>
    <w:p>
      <w:pPr>
        <w:pStyle w:val="Berschrift2"/>
        <w:numPr>
          <w:ilvl w:val="1"/>
          <w:numId w:val="2"/>
        </w:numPr>
        <w:ind w:left="0" w:right="0" w:hanging="0"/>
        <w:rPr/>
      </w:pPr>
      <w:r>
        <w:rPr/>
        <w:t>Didaktisch-methodischer Schwerpunkt</w:t>
      </w:r>
    </w:p>
    <w:p>
      <w:pPr>
        <w:pStyle w:val="Textkrper"/>
        <w:rPr>
          <w:b/>
          <w:b/>
          <w:bCs/>
        </w:rPr>
      </w:pPr>
      <w:r>
        <w:rPr>
          <w:b/>
          <w:bCs/>
        </w:rPr>
        <w:t>Experimentieren</w:t>
      </w:r>
    </w:p>
    <w:p>
      <w:pPr>
        <w:pStyle w:val="Textkrper"/>
        <w:rPr/>
      </w:pPr>
      <w:r>
        <w:rPr/>
        <w:t>Die SuS setzen sich mit biologischen Sachverhalten durch Demonstrationsexperimente auseinander und sind in der Lage, deren Ergebnisse mit vorhandemem Wissen zu verknüpfen und dieses um neue Aspekte zu erweitern. Die SuS schließen sachlogisch von Beobachtungen auf Erklärungen und vollziehen so beispielhaft einen empirischen und induktiven Erkenntnisgewinn nach.</w:t>
      </w:r>
    </w:p>
    <w:p>
      <w:pPr>
        <w:pStyle w:val="Berschrift2"/>
        <w:pageBreakBefore w:val="false"/>
        <w:numPr>
          <w:ilvl w:val="1"/>
          <w:numId w:val="4"/>
        </w:numPr>
        <w:ind w:left="0" w:right="0" w:hanging="0"/>
        <w:rPr/>
      </w:pPr>
      <w:r>
        <w:rPr/>
        <w:t>Materialien</w:t>
      </w:r>
    </w:p>
    <w:tbl>
      <w:tblPr>
        <w:tblW w:w="9638" w:type="dxa"/>
        <w:jc w:val="left"/>
        <w:tblInd w:w="0" w:type="dxa"/>
        <w:tblCellMar>
          <w:top w:w="55" w:type="dxa"/>
          <w:left w:w="40" w:type="dxa"/>
          <w:bottom w:w="55" w:type="dxa"/>
          <w:right w:w="55" w:type="dxa"/>
        </w:tblCellMar>
      </w:tblPr>
      <w:tblGrid>
        <w:gridCol w:w="4821"/>
        <w:gridCol w:w="4816"/>
      </w:tblGrid>
      <w:tr>
        <w:trPr/>
        <w:tc>
          <w:tcPr>
            <w:tcW w:w="4821" w:type="dxa"/>
            <w:tcBorders>
              <w:top w:val="single" w:sz="2" w:space="0" w:color="000000"/>
              <w:left w:val="single" w:sz="2" w:space="0" w:color="000000"/>
              <w:bottom w:val="single" w:sz="4" w:space="0" w:color="000000"/>
            </w:tcBorders>
            <w:shd w:fill="A6A6A6" w:val="clear"/>
          </w:tcPr>
          <w:p>
            <w:pPr>
              <w:pStyle w:val="Textkrper"/>
              <w:spacing w:lineRule="auto" w:line="276" w:before="0" w:after="140"/>
              <w:rPr>
                <w:b/>
                <w:b/>
                <w:bCs/>
              </w:rPr>
            </w:pPr>
            <w:r>
              <w:rPr>
                <w:b/>
                <w:bCs/>
              </w:rPr>
              <w:t>Material</w:t>
            </w:r>
          </w:p>
        </w:tc>
        <w:tc>
          <w:tcPr>
            <w:tcW w:w="4816" w:type="dxa"/>
            <w:tcBorders>
              <w:top w:val="single" w:sz="2" w:space="0" w:color="000000"/>
              <w:left w:val="single" w:sz="2" w:space="0" w:color="000000"/>
              <w:bottom w:val="single" w:sz="4" w:space="0" w:color="000000"/>
              <w:right w:val="single" w:sz="2" w:space="0" w:color="000000"/>
            </w:tcBorders>
            <w:shd w:fill="A6A6A6" w:val="clear"/>
          </w:tcPr>
          <w:p>
            <w:pPr>
              <w:pStyle w:val="Textkrper"/>
              <w:spacing w:lineRule="auto" w:line="276" w:before="0" w:after="140"/>
              <w:rPr>
                <w:b/>
                <w:b/>
                <w:bCs/>
              </w:rPr>
            </w:pPr>
            <w:r>
              <w:rPr>
                <w:b/>
                <w:bCs/>
              </w:rPr>
              <w:t>Anmerkungen</w:t>
            </w:r>
          </w:p>
        </w:tc>
      </w:tr>
    </w:tbl>
    <w:p>
      <w:pPr>
        <w:pStyle w:val="Normal"/>
        <w:rPr>
          <w:sz w:val="8"/>
          <w:szCs w:val="8"/>
        </w:rPr>
      </w:pPr>
      <w:r>
        <w:rPr>
          <w:sz w:val="8"/>
          <w:szCs w:val="8"/>
        </w:rPr>
      </w:r>
    </w:p>
    <w:tbl>
      <w:tblPr>
        <w:tblW w:w="9638" w:type="dxa"/>
        <w:jc w:val="left"/>
        <w:tblInd w:w="0" w:type="dxa"/>
        <w:tblCellMar>
          <w:top w:w="55" w:type="dxa"/>
          <w:left w:w="40" w:type="dxa"/>
          <w:bottom w:w="55" w:type="dxa"/>
          <w:right w:w="55" w:type="dxa"/>
        </w:tblCellMar>
      </w:tblPr>
      <w:tblGrid>
        <w:gridCol w:w="4819"/>
        <w:gridCol w:w="4818"/>
      </w:tblGrid>
      <w:tr>
        <w:trPr/>
        <w:tc>
          <w:tcPr>
            <w:tcW w:w="4819" w:type="dxa"/>
            <w:tcBorders>
              <w:top w:val="single" w:sz="4" w:space="0" w:color="000000"/>
              <w:left w:val="single" w:sz="2" w:space="0" w:color="000000"/>
              <w:bottom w:val="single" w:sz="4" w:space="0" w:color="000000"/>
              <w:right w:val="single" w:sz="2" w:space="0" w:color="000000"/>
            </w:tcBorders>
            <w:shd w:fill="auto" w:val="clear"/>
          </w:tcPr>
          <w:p>
            <w:pPr>
              <w:pStyle w:val="Textkrper"/>
              <w:spacing w:lineRule="auto" w:line="276" w:before="0" w:after="140"/>
              <w:rPr/>
            </w:pPr>
            <w:r>
              <w:rPr>
                <w:i/>
                <w:iCs/>
                <w:sz w:val="18"/>
                <w:szCs w:val="18"/>
              </w:rPr>
              <w:t>20300_dok_unterrichtsgang_wirkungsspektrum</w:t>
            </w:r>
          </w:p>
        </w:tc>
        <w:tc>
          <w:tcPr>
            <w:tcW w:w="4818" w:type="dxa"/>
            <w:tcBorders>
              <w:top w:val="single" w:sz="4" w:space="0" w:color="000000"/>
              <w:left w:val="single" w:sz="2" w:space="0" w:color="000000"/>
              <w:bottom w:val="single" w:sz="4" w:space="0" w:color="000000"/>
              <w:right w:val="single" w:sz="2" w:space="0" w:color="000000"/>
            </w:tcBorders>
            <w:shd w:fill="auto" w:val="clear"/>
          </w:tcPr>
          <w:p>
            <w:pPr>
              <w:pStyle w:val="Textkrper"/>
              <w:spacing w:before="0" w:after="140"/>
              <w:rPr/>
            </w:pPr>
            <w:r>
              <w:rPr/>
              <w:t>Informationen zum Unterrichtsgang mit fachlichem Hintergrund, Unterrichtsgang und Anleitung zur Vorbereitung und Durchführung der Demonstrationsexperimente</w:t>
            </w:r>
          </w:p>
        </w:tc>
      </w:tr>
      <w:tr>
        <w:trPr/>
        <w:tc>
          <w:tcPr>
            <w:tcW w:w="4819" w:type="dxa"/>
            <w:tcBorders>
              <w:top w:val="single" w:sz="4" w:space="0" w:color="000000"/>
              <w:left w:val="single" w:sz="2" w:space="0" w:color="000000"/>
              <w:bottom w:val="single" w:sz="4" w:space="0" w:color="000000"/>
              <w:right w:val="single" w:sz="2" w:space="0" w:color="000000"/>
            </w:tcBorders>
            <w:shd w:fill="auto" w:val="clear"/>
          </w:tcPr>
          <w:p>
            <w:pPr>
              <w:pStyle w:val="Textkrper"/>
              <w:spacing w:lineRule="auto" w:line="276" w:before="0" w:after="140"/>
              <w:rPr/>
            </w:pPr>
            <w:r>
              <w:rPr>
                <w:i/>
                <w:iCs/>
                <w:sz w:val="18"/>
                <w:szCs w:val="18"/>
              </w:rPr>
              <w:t>20301_p_wirkungsspektrum</w:t>
            </w:r>
          </w:p>
        </w:tc>
        <w:tc>
          <w:tcPr>
            <w:tcW w:w="4818" w:type="dxa"/>
            <w:tcBorders>
              <w:top w:val="single" w:sz="4" w:space="0" w:color="000000"/>
              <w:left w:val="single" w:sz="2" w:space="0" w:color="000000"/>
              <w:bottom w:val="single" w:sz="4" w:space="0" w:color="000000"/>
              <w:right w:val="single" w:sz="2" w:space="0" w:color="000000"/>
            </w:tcBorders>
            <w:shd w:fill="auto" w:val="clear"/>
          </w:tcPr>
          <w:p>
            <w:pPr>
              <w:pStyle w:val="Normal"/>
              <w:rPr/>
            </w:pPr>
            <w:r>
              <w:rPr/>
              <w:t>Farbspektrum und Absorptionsspektrum im Vergleich ( → Versuchsergebnisse bleiben auch im hellen Raum während des Arbeitsauftrags verfügbar), Wirkungsspektrum der Fotosynthese</w:t>
            </w:r>
          </w:p>
        </w:tc>
      </w:tr>
      <w:tr>
        <w:trPr/>
        <w:tc>
          <w:tcPr>
            <w:tcW w:w="4819" w:type="dxa"/>
            <w:tcBorders>
              <w:top w:val="single" w:sz="4" w:space="0" w:color="000000"/>
              <w:left w:val="single" w:sz="2" w:space="0" w:color="000000"/>
              <w:bottom w:val="single" w:sz="4" w:space="0" w:color="000000"/>
              <w:right w:val="single" w:sz="2" w:space="0" w:color="000000"/>
            </w:tcBorders>
            <w:shd w:fill="auto" w:val="clear"/>
          </w:tcPr>
          <w:p>
            <w:pPr>
              <w:pStyle w:val="Textkrper"/>
              <w:spacing w:lineRule="auto" w:line="276" w:before="0" w:after="140"/>
              <w:rPr/>
            </w:pPr>
            <w:r>
              <w:rPr>
                <w:i/>
                <w:iCs/>
                <w:sz w:val="18"/>
                <w:szCs w:val="18"/>
              </w:rPr>
              <w:t>20302_ab_wirkungsspektrum</w:t>
            </w:r>
          </w:p>
        </w:tc>
        <w:tc>
          <w:tcPr>
            <w:tcW w:w="4818" w:type="dxa"/>
            <w:tcBorders>
              <w:top w:val="single" w:sz="4" w:space="0" w:color="000000"/>
              <w:left w:val="single" w:sz="2" w:space="0" w:color="000000"/>
              <w:bottom w:val="single" w:sz="4" w:space="0" w:color="000000"/>
              <w:right w:val="single" w:sz="2" w:space="0" w:color="000000"/>
            </w:tcBorders>
            <w:shd w:fill="auto" w:val="clear"/>
          </w:tcPr>
          <w:p>
            <w:pPr>
              <w:pStyle w:val="Normal"/>
              <w:rPr/>
            </w:pPr>
            <w:r>
              <w:rPr/>
              <w:t>Schülerarbeitsblatt mit angehängten Musterlösungen</w:t>
            </w:r>
          </w:p>
        </w:tc>
      </w:tr>
    </w:tbl>
    <w:p>
      <w:pPr>
        <w:pStyle w:val="Berschrift2"/>
        <w:widowControl/>
        <w:numPr>
          <w:ilvl w:val="0"/>
          <w:numId w:val="0"/>
        </w:numPr>
        <w:suppressAutoHyphens w:val="true"/>
        <w:overflowPunct w:val="false"/>
        <w:ind w:left="0" w:right="0" w:hanging="0"/>
        <w:jc w:val="left"/>
        <w:rPr/>
      </w:pPr>
      <w:r>
        <w:rPr/>
      </w:r>
      <w:r>
        <w:br w:type="page"/>
      </w:r>
    </w:p>
    <w:p>
      <w:pPr>
        <w:pStyle w:val="Berschrift2"/>
        <w:numPr>
          <w:ilvl w:val="1"/>
          <w:numId w:val="4"/>
        </w:numPr>
        <w:ind w:left="0" w:right="0" w:hanging="0"/>
        <w:rPr/>
      </w:pPr>
      <w:r>
        <w:rPr/>
        <w:t>Unterrichtsverlauf</w:t>
      </w:r>
    </w:p>
    <w:tbl>
      <w:tblPr>
        <w:tblW w:w="9640" w:type="dxa"/>
        <w:jc w:val="left"/>
        <w:tblInd w:w="0" w:type="dxa"/>
        <w:tblCellMar>
          <w:top w:w="55" w:type="dxa"/>
          <w:left w:w="48" w:type="dxa"/>
          <w:bottom w:w="55" w:type="dxa"/>
          <w:right w:w="55" w:type="dxa"/>
        </w:tblCellMar>
      </w:tblPr>
      <w:tblGrid>
        <w:gridCol w:w="1419"/>
        <w:gridCol w:w="6520"/>
        <w:gridCol w:w="1701"/>
      </w:tblGrid>
      <w:tr>
        <w:trPr/>
        <w:tc>
          <w:tcPr>
            <w:tcW w:w="1419" w:type="dxa"/>
            <w:tcBorders>
              <w:top w:val="single" w:sz="2" w:space="0" w:color="000000"/>
              <w:left w:val="single" w:sz="2" w:space="0" w:color="000000"/>
              <w:bottom w:val="single" w:sz="2" w:space="0" w:color="000000"/>
            </w:tcBorders>
            <w:shd w:fill="B2B2B2" w:val="clear"/>
          </w:tcPr>
          <w:p>
            <w:pPr>
              <w:pStyle w:val="Tabelleninhalt1"/>
              <w:numPr>
                <w:ilvl w:val="0"/>
                <w:numId w:val="3"/>
              </w:numPr>
              <w:rPr>
                <w:b/>
                <w:b/>
                <w:bCs/>
              </w:rPr>
            </w:pPr>
            <w:r>
              <w:rPr>
                <w:b/>
                <w:bCs/>
              </w:rPr>
              <w:t>Phase</w:t>
            </w:r>
          </w:p>
        </w:tc>
        <w:tc>
          <w:tcPr>
            <w:tcW w:w="6520" w:type="dxa"/>
            <w:tcBorders>
              <w:top w:val="single" w:sz="2" w:space="0" w:color="000000"/>
              <w:left w:val="single" w:sz="2" w:space="0" w:color="000000"/>
              <w:bottom w:val="single" w:sz="2" w:space="0" w:color="000000"/>
            </w:tcBorders>
            <w:shd w:fill="B2B2B2" w:val="clear"/>
          </w:tcPr>
          <w:p>
            <w:pPr>
              <w:pStyle w:val="Tabelleninhalt1"/>
              <w:numPr>
                <w:ilvl w:val="0"/>
                <w:numId w:val="3"/>
              </w:numPr>
              <w:rPr>
                <w:b/>
                <w:b/>
                <w:bCs/>
              </w:rPr>
            </w:pPr>
            <w:r>
              <w:rPr>
                <w:b/>
                <w:bCs/>
              </w:rPr>
              <w:t>Inhalte</w:t>
            </w:r>
          </w:p>
        </w:tc>
        <w:tc>
          <w:tcPr>
            <w:tcW w:w="1701" w:type="dxa"/>
            <w:tcBorders>
              <w:top w:val="single" w:sz="2" w:space="0" w:color="000000"/>
              <w:left w:val="single" w:sz="2" w:space="0" w:color="000000"/>
              <w:bottom w:val="single" w:sz="2" w:space="0" w:color="000000"/>
              <w:right w:val="single" w:sz="2" w:space="0" w:color="000000"/>
            </w:tcBorders>
            <w:shd w:fill="B2B2B2" w:val="clear"/>
          </w:tcPr>
          <w:p>
            <w:pPr>
              <w:pStyle w:val="Tabelleninhalt1"/>
              <w:numPr>
                <w:ilvl w:val="0"/>
                <w:numId w:val="3"/>
              </w:numPr>
              <w:rPr>
                <w:b/>
                <w:b/>
                <w:bCs/>
              </w:rPr>
            </w:pPr>
            <w:r>
              <w:rPr>
                <w:b/>
                <w:bCs/>
              </w:rPr>
              <w:t>Sozialform, Medien</w:t>
            </w:r>
          </w:p>
        </w:tc>
      </w:tr>
      <w:tr>
        <w:trPr/>
        <w:tc>
          <w:tcPr>
            <w:tcW w:w="9640" w:type="dxa"/>
            <w:gridSpan w:val="3"/>
            <w:tcBorders>
              <w:top w:val="single" w:sz="2" w:space="0" w:color="000000"/>
              <w:left w:val="single" w:sz="2" w:space="0" w:color="000000"/>
              <w:bottom w:val="single" w:sz="2" w:space="0" w:color="000000"/>
              <w:right w:val="single" w:sz="2" w:space="0" w:color="000000"/>
            </w:tcBorders>
            <w:shd w:fill="DDDDDD" w:val="clear"/>
          </w:tcPr>
          <w:p>
            <w:pPr>
              <w:pStyle w:val="Tabelleninhalt1"/>
              <w:numPr>
                <w:ilvl w:val="0"/>
                <w:numId w:val="3"/>
              </w:numPr>
              <w:rPr>
                <w:b w:val="false"/>
                <w:b w:val="false"/>
                <w:bCs w:val="false"/>
              </w:rPr>
            </w:pPr>
            <w:r>
              <w:rPr>
                <w:b w:val="false"/>
                <w:bCs w:val="false"/>
              </w:rPr>
              <w:t>Stunde 4 (Einzelstunde)</w:t>
            </w:r>
          </w:p>
        </w:tc>
      </w:tr>
      <w:tr>
        <w:trPr/>
        <w:tc>
          <w:tcPr>
            <w:tcW w:w="1419" w:type="dxa"/>
            <w:tcBorders>
              <w:top w:val="single" w:sz="2" w:space="0" w:color="000000"/>
              <w:left w:val="single" w:sz="2" w:space="0" w:color="000000"/>
              <w:bottom w:val="single" w:sz="2" w:space="0" w:color="000000"/>
            </w:tcBorders>
            <w:shd w:fill="auto" w:val="clear"/>
          </w:tcPr>
          <w:p>
            <w:pPr>
              <w:pStyle w:val="Tabelleninhalt1"/>
              <w:numPr>
                <w:ilvl w:val="0"/>
                <w:numId w:val="3"/>
              </w:numPr>
              <w:rPr/>
            </w:pPr>
            <w:r>
              <w:rPr/>
              <w:t>Einstieg</w:t>
            </w:r>
          </w:p>
          <w:p>
            <w:pPr>
              <w:pStyle w:val="Tabelleninhalt1"/>
              <w:numPr>
                <w:ilvl w:val="0"/>
                <w:numId w:val="3"/>
              </w:numPr>
              <w:rPr/>
            </w:pPr>
            <w:r>
              <w:rPr/>
              <w:t>10‘</w:t>
            </w:r>
          </w:p>
        </w:tc>
        <w:tc>
          <w:tcPr>
            <w:tcW w:w="6520" w:type="dxa"/>
            <w:tcBorders>
              <w:top w:val="single" w:sz="2" w:space="0" w:color="000000"/>
              <w:left w:val="single" w:sz="2" w:space="0" w:color="000000"/>
              <w:bottom w:val="single" w:sz="2" w:space="0" w:color="000000"/>
            </w:tcBorders>
            <w:shd w:fill="auto" w:val="clear"/>
          </w:tcPr>
          <w:p>
            <w:pPr>
              <w:pStyle w:val="Tabelleninhalt1"/>
              <w:numPr>
                <w:ilvl w:val="0"/>
                <w:numId w:val="7"/>
              </w:numPr>
              <w:rPr/>
            </w:pPr>
            <w:r>
              <w:rPr>
                <w:i w:val="false"/>
                <w:iCs w:val="false"/>
              </w:rPr>
              <w:t>Zeigen des Erlenmeyerkolbens mit der vom Praktikum übrigen Rohchlorophylllösung</w:t>
              <w:br/>
              <w:t>→ „Erläutern Sie die Bedeutung der Blattpigmente für die Fotosynthese“.</w:t>
              <w:br/>
            </w:r>
            <w:r>
              <w:rPr>
                <w:i/>
                <w:iCs/>
              </w:rPr>
              <w:t>Erwartete Antwort:</w:t>
              <w:br/>
              <w:t>Absorbiert Energie des Sonnenlichts als Voraussetzungen für deren Umwandlung in chemische Energie</w:t>
            </w:r>
          </w:p>
          <w:p>
            <w:pPr>
              <w:pStyle w:val="Tabelleninhalt1"/>
              <w:numPr>
                <w:ilvl w:val="0"/>
                <w:numId w:val="7"/>
              </w:numPr>
              <w:rPr/>
            </w:pPr>
            <w:r>
              <w:rPr>
                <w:i w:val="false"/>
                <w:iCs w:val="false"/>
              </w:rPr>
              <w:t>„</w:t>
            </w:r>
            <w:r>
              <w:rPr>
                <w:i w:val="false"/>
                <w:iCs w:val="false"/>
              </w:rPr>
              <w:t>Im folgenden Demonstrationsversuch wird weißes Licht zunächst durch ein Prisma in seine Spektralfarben zerlegt. Anschließend wird zusätzlich unsere Chlorophylllösung in den Strahlengang gebracht. Beobachten Sie, wie sich dies auf das Spektrum auswirkt!“</w:t>
            </w:r>
          </w:p>
        </w:tc>
        <w:tc>
          <w:tcPr>
            <w:tcW w:w="1701" w:type="dxa"/>
            <w:tcBorders>
              <w:top w:val="single" w:sz="2" w:space="0" w:color="000000"/>
              <w:left w:val="single" w:sz="2" w:space="0" w:color="000000"/>
              <w:bottom w:val="single" w:sz="2" w:space="0" w:color="000000"/>
              <w:right w:val="single" w:sz="2" w:space="0" w:color="000000"/>
            </w:tcBorders>
            <w:shd w:fill="auto" w:val="clear"/>
          </w:tcPr>
          <w:p>
            <w:pPr>
              <w:pStyle w:val="Tabelleninhalt1"/>
              <w:numPr>
                <w:ilvl w:val="0"/>
                <w:numId w:val="3"/>
              </w:numPr>
              <w:rPr/>
            </w:pPr>
            <w:r>
              <w:rPr/>
              <w:t>UG</w:t>
            </w:r>
          </w:p>
          <w:p>
            <w:pPr>
              <w:pStyle w:val="Tabelleninhalt1"/>
              <w:rPr/>
            </w:pPr>
            <w:r>
              <w:rPr/>
            </w:r>
          </w:p>
          <w:p>
            <w:pPr>
              <w:pStyle w:val="Tabelleninhalt1"/>
              <w:rPr/>
            </w:pPr>
            <w:r>
              <w:rPr/>
              <w:t>Murmelphase, dann UG</w:t>
            </w:r>
          </w:p>
          <w:p>
            <w:pPr>
              <w:pStyle w:val="Tabelleninhalt1"/>
              <w:rPr/>
            </w:pPr>
            <w:r>
              <w:rPr/>
            </w:r>
          </w:p>
          <w:p>
            <w:pPr>
              <w:pStyle w:val="Tabelleninhalt1"/>
              <w:rPr/>
            </w:pPr>
            <w:r>
              <w:rPr/>
            </w:r>
          </w:p>
          <w:p>
            <w:pPr>
              <w:pStyle w:val="Tabelleninhalt1"/>
              <w:rPr/>
            </w:pPr>
            <w:r>
              <w:rPr/>
            </w:r>
          </w:p>
          <w:p>
            <w:pPr>
              <w:pStyle w:val="Tabelleninhalt1"/>
              <w:rPr/>
            </w:pPr>
            <w:r>
              <w:rPr/>
            </w:r>
          </w:p>
          <w:p>
            <w:pPr>
              <w:pStyle w:val="Tabelleninhalt1"/>
              <w:rPr/>
            </w:pPr>
            <w:r>
              <w:rPr/>
              <w:t xml:space="preserve">EXP, Versuchsaufbau zum Absorptions-spektrum von Chlorophyll </w:t>
            </w:r>
          </w:p>
        </w:tc>
      </w:tr>
      <w:tr>
        <w:trPr/>
        <w:tc>
          <w:tcPr>
            <w:tcW w:w="1419" w:type="dxa"/>
            <w:tcBorders>
              <w:top w:val="single" w:sz="2" w:space="0" w:color="000000"/>
              <w:left w:val="single" w:sz="2" w:space="0" w:color="000000"/>
              <w:bottom w:val="single" w:sz="2" w:space="0" w:color="000000"/>
            </w:tcBorders>
            <w:shd w:fill="auto" w:val="clear"/>
          </w:tcPr>
          <w:p>
            <w:pPr>
              <w:pStyle w:val="Tabelleninhalt1"/>
              <w:numPr>
                <w:ilvl w:val="0"/>
                <w:numId w:val="3"/>
              </w:numPr>
              <w:rPr/>
            </w:pPr>
            <w:r>
              <w:rPr/>
              <w:t>Überleitung</w:t>
            </w:r>
          </w:p>
          <w:p>
            <w:pPr>
              <w:pStyle w:val="Tabelleninhalt1"/>
              <w:numPr>
                <w:ilvl w:val="0"/>
                <w:numId w:val="3"/>
              </w:numPr>
              <w:rPr/>
            </w:pPr>
            <w:r>
              <w:rPr/>
              <w:t>5‘</w:t>
            </w:r>
          </w:p>
        </w:tc>
        <w:tc>
          <w:tcPr>
            <w:tcW w:w="6520" w:type="dxa"/>
            <w:tcBorders>
              <w:top w:val="single" w:sz="2" w:space="0" w:color="000000"/>
              <w:left w:val="single" w:sz="2" w:space="0" w:color="000000"/>
              <w:bottom w:val="single" w:sz="2" w:space="0" w:color="000000"/>
            </w:tcBorders>
            <w:shd w:fill="auto" w:val="clear"/>
          </w:tcPr>
          <w:p>
            <w:pPr>
              <w:pStyle w:val="Tabelleninhalt1"/>
              <w:widowControl/>
              <w:numPr>
                <w:ilvl w:val="0"/>
                <w:numId w:val="8"/>
              </w:numPr>
              <w:suppressLineNumbers/>
              <w:suppressAutoHyphens w:val="true"/>
              <w:overflowPunct w:val="false"/>
              <w:bidi w:val="0"/>
              <w:jc w:val="left"/>
              <w:rPr/>
            </w:pPr>
            <w:r>
              <w:rPr/>
              <w:t>„</w:t>
            </w:r>
            <w:r>
              <w:rPr/>
              <w:t>In einem historischen Experiment, dem sogenannten Engelmannschen Bakterienversuch, konnte erstmals gezeigt werden, dass nicht alle Anteile des Farbspektrums gleichermaßen zur Fotosyntheseleistung pflanzlicher Zellen beitragen, da Chlorophyll Licht unterschiedlicher Wellenlänge unterschiedlich gut absorbiert.“</w:t>
            </w:r>
          </w:p>
          <w:p>
            <w:pPr>
              <w:pStyle w:val="Tabelleninhalt1"/>
              <w:widowControl/>
              <w:numPr>
                <w:ilvl w:val="0"/>
                <w:numId w:val="8"/>
              </w:numPr>
              <w:suppressLineNumbers/>
              <w:suppressAutoHyphens w:val="true"/>
              <w:overflowPunct w:val="false"/>
              <w:bidi w:val="0"/>
              <w:jc w:val="left"/>
              <w:rPr/>
            </w:pPr>
            <w:r>
              <w:rPr/>
              <w:t>„</w:t>
            </w:r>
            <w:r>
              <w:rPr/>
              <w:t>Stellen Sie unter Bezugnahme auf das Experiment eine Hypothese darüber auf, welche Lichtfarben besonders wirksam für die Fotosynthese sind“.</w:t>
              <w:br/>
            </w:r>
            <w:r>
              <w:rPr>
                <w:i/>
                <w:iCs/>
              </w:rPr>
              <w:t>Erwartete Antwort:</w:t>
              <w:br/>
              <w:t>Rotes und blaues Licht, da das Chlorophyll diese Wellenlängenbereiche offensichtlich „herausgefiltert“ hat → sind im Absorptionsspektrum nicht mehr vorhanden</w:t>
            </w:r>
            <w:r>
              <w:rPr/>
              <w:br/>
              <w:t>(Hypothesen sammeln, zunächst nicht kommentieren)</w:t>
            </w:r>
          </w:p>
        </w:tc>
        <w:tc>
          <w:tcPr>
            <w:tcW w:w="1701" w:type="dxa"/>
            <w:tcBorders>
              <w:top w:val="single" w:sz="2" w:space="0" w:color="000000"/>
              <w:left w:val="single" w:sz="2" w:space="0" w:color="000000"/>
              <w:bottom w:val="single" w:sz="2" w:space="0" w:color="000000"/>
              <w:right w:val="single" w:sz="2" w:space="0" w:color="000000"/>
            </w:tcBorders>
            <w:shd w:fill="auto" w:val="clear"/>
          </w:tcPr>
          <w:p>
            <w:pPr>
              <w:pStyle w:val="Tabelleninhalt1"/>
              <w:numPr>
                <w:ilvl w:val="0"/>
                <w:numId w:val="3"/>
              </w:numPr>
              <w:rPr/>
            </w:pPr>
            <w:r>
              <w:rPr/>
              <w:t>UG, P Folie 1</w:t>
            </w:r>
          </w:p>
          <w:p>
            <w:pPr>
              <w:pStyle w:val="Tabelleninhalt1"/>
              <w:rPr/>
            </w:pPr>
            <w:r>
              <w:rPr/>
            </w:r>
          </w:p>
          <w:p>
            <w:pPr>
              <w:pStyle w:val="Tabelleninhalt1"/>
              <w:rPr/>
            </w:pPr>
            <w:r>
              <w:rPr/>
            </w:r>
          </w:p>
          <w:p>
            <w:pPr>
              <w:pStyle w:val="Tabelleninhalt1"/>
              <w:rPr/>
            </w:pPr>
            <w:r>
              <w:rPr/>
            </w:r>
          </w:p>
          <w:p>
            <w:pPr>
              <w:pStyle w:val="Tabelleninhalt1"/>
              <w:rPr/>
            </w:pPr>
            <w:r>
              <w:rPr/>
            </w:r>
          </w:p>
          <w:p>
            <w:pPr>
              <w:pStyle w:val="Tabelleninhalt1"/>
              <w:rPr/>
            </w:pPr>
            <w:r>
              <w:rPr/>
            </w:r>
          </w:p>
          <w:p>
            <w:pPr>
              <w:pStyle w:val="Tabelleninhalt1"/>
              <w:rPr/>
            </w:pPr>
            <w:r>
              <w:rPr/>
            </w:r>
          </w:p>
          <w:p>
            <w:pPr>
              <w:pStyle w:val="Tabelleninhalt1"/>
              <w:rPr/>
            </w:pPr>
            <w:r>
              <w:rPr/>
              <w:t>Murmelphase, dann UG</w:t>
            </w:r>
          </w:p>
        </w:tc>
      </w:tr>
      <w:tr>
        <w:trPr/>
        <w:tc>
          <w:tcPr>
            <w:tcW w:w="1419" w:type="dxa"/>
            <w:tcBorders>
              <w:top w:val="single" w:sz="2" w:space="0" w:color="000000"/>
              <w:left w:val="single" w:sz="2" w:space="0" w:color="000000"/>
              <w:bottom w:val="single" w:sz="2" w:space="0" w:color="000000"/>
            </w:tcBorders>
            <w:shd w:fill="auto" w:val="clear"/>
          </w:tcPr>
          <w:p>
            <w:pPr>
              <w:pStyle w:val="Tabelleninhalt1"/>
              <w:numPr>
                <w:ilvl w:val="0"/>
                <w:numId w:val="3"/>
              </w:numPr>
              <w:rPr/>
            </w:pPr>
            <w:r>
              <w:rPr/>
              <w:t>Erarbeitung</w:t>
            </w:r>
          </w:p>
          <w:p>
            <w:pPr>
              <w:pStyle w:val="Tabelleninhalt1"/>
              <w:numPr>
                <w:ilvl w:val="0"/>
                <w:numId w:val="3"/>
              </w:numPr>
              <w:rPr/>
            </w:pPr>
            <w:r>
              <w:rPr/>
              <w:t>15‘</w:t>
            </w:r>
          </w:p>
        </w:tc>
        <w:tc>
          <w:tcPr>
            <w:tcW w:w="6520" w:type="dxa"/>
            <w:tcBorders>
              <w:top w:val="single" w:sz="2" w:space="0" w:color="000000"/>
              <w:left w:val="single" w:sz="2" w:space="0" w:color="000000"/>
              <w:bottom w:val="single" w:sz="2" w:space="0" w:color="000000"/>
            </w:tcBorders>
            <w:shd w:fill="auto" w:val="clear"/>
          </w:tcPr>
          <w:p>
            <w:pPr>
              <w:pStyle w:val="Tabelleninhalt1"/>
              <w:widowControl/>
              <w:numPr>
                <w:ilvl w:val="0"/>
                <w:numId w:val="9"/>
              </w:numPr>
              <w:suppressLineNumbers/>
              <w:suppressAutoHyphens w:val="true"/>
              <w:overflowPunct w:val="false"/>
              <w:bidi w:val="0"/>
              <w:jc w:val="left"/>
              <w:rPr/>
            </w:pPr>
            <w:r>
              <w:rPr/>
              <w:t>SuS erarbeiten selbständig die Konzepte Farbspektrum und Absorptionsspektrum (auf der Grundlage des Demonstrationsexperiments) sowie Wirkungsspektrum (AB zum Engelmann-Versuch).</w:t>
            </w:r>
          </w:p>
        </w:tc>
        <w:tc>
          <w:tcPr>
            <w:tcW w:w="1701" w:type="dxa"/>
            <w:tcBorders>
              <w:top w:val="single" w:sz="2" w:space="0" w:color="000000"/>
              <w:left w:val="single" w:sz="2" w:space="0" w:color="000000"/>
              <w:bottom w:val="single" w:sz="2" w:space="0" w:color="000000"/>
              <w:right w:val="single" w:sz="2" w:space="0" w:color="000000"/>
            </w:tcBorders>
            <w:shd w:fill="auto" w:val="clear"/>
          </w:tcPr>
          <w:p>
            <w:pPr>
              <w:pStyle w:val="Tabelleninhalt1"/>
              <w:numPr>
                <w:ilvl w:val="0"/>
                <w:numId w:val="3"/>
              </w:numPr>
              <w:rPr/>
            </w:pPr>
            <w:r>
              <w:rPr/>
              <w:t>EA/PA, AB</w:t>
            </w:r>
          </w:p>
        </w:tc>
      </w:tr>
      <w:tr>
        <w:trPr/>
        <w:tc>
          <w:tcPr>
            <w:tcW w:w="1419" w:type="dxa"/>
            <w:tcBorders>
              <w:top w:val="single" w:sz="2" w:space="0" w:color="000000"/>
              <w:left w:val="single" w:sz="2" w:space="0" w:color="000000"/>
              <w:bottom w:val="single" w:sz="2" w:space="0" w:color="000000"/>
            </w:tcBorders>
            <w:shd w:fill="auto" w:val="clear"/>
          </w:tcPr>
          <w:p>
            <w:pPr>
              <w:pStyle w:val="Tabelleninhalt1"/>
              <w:numPr>
                <w:ilvl w:val="0"/>
                <w:numId w:val="3"/>
              </w:numPr>
              <w:rPr/>
            </w:pPr>
            <w:r>
              <w:rPr/>
              <w:t>Auswertung</w:t>
            </w:r>
          </w:p>
          <w:p>
            <w:pPr>
              <w:pStyle w:val="Tabelleninhalt1"/>
              <w:numPr>
                <w:ilvl w:val="0"/>
                <w:numId w:val="3"/>
              </w:numPr>
              <w:rPr/>
            </w:pPr>
            <w:r>
              <w:rPr/>
              <w:t>10‘</w:t>
            </w:r>
          </w:p>
        </w:tc>
        <w:tc>
          <w:tcPr>
            <w:tcW w:w="6520" w:type="dxa"/>
            <w:tcBorders>
              <w:top w:val="single" w:sz="2" w:space="0" w:color="000000"/>
              <w:left w:val="single" w:sz="2" w:space="0" w:color="000000"/>
              <w:bottom w:val="single" w:sz="2" w:space="0" w:color="000000"/>
            </w:tcBorders>
            <w:shd w:fill="auto" w:val="clear"/>
          </w:tcPr>
          <w:p>
            <w:pPr>
              <w:pStyle w:val="Tabelleninhalt1"/>
              <w:widowControl/>
              <w:numPr>
                <w:ilvl w:val="0"/>
                <w:numId w:val="10"/>
              </w:numPr>
              <w:suppressLineNumbers/>
              <w:suppressAutoHyphens w:val="true"/>
              <w:overflowPunct w:val="false"/>
              <w:bidi w:val="0"/>
              <w:jc w:val="left"/>
              <w:rPr/>
            </w:pPr>
            <w:r>
              <w:rPr/>
              <w:t>SuS diskutieren ihre Lösungen in Kleingruppen, gleichen sie mit einer Musterlösung ab und erhalten bei Bedarf Unterstützung und/oder Feedback durch die Lehrkraft.</w:t>
            </w:r>
          </w:p>
          <w:p>
            <w:pPr>
              <w:pStyle w:val="Tabelleninhalt1"/>
              <w:widowControl/>
              <w:numPr>
                <w:ilvl w:val="0"/>
                <w:numId w:val="10"/>
              </w:numPr>
              <w:suppressLineNumbers/>
              <w:suppressAutoHyphens w:val="true"/>
              <w:overflowPunct w:val="false"/>
              <w:bidi w:val="0"/>
              <w:jc w:val="left"/>
              <w:rPr/>
            </w:pPr>
            <w:r>
              <w:rPr/>
              <w:t xml:space="preserve">Rückbezug zu den gesammelten Hypothesen → welche sind verifizierbar? </w:t>
            </w:r>
            <w:r>
              <w:rPr>
                <w:i/>
                <w:iCs/>
              </w:rPr>
              <w:t>(Ggf. Hilfe: P Folie 2 beschreiben lassen)</w:t>
            </w:r>
          </w:p>
        </w:tc>
        <w:tc>
          <w:tcPr>
            <w:tcW w:w="1701" w:type="dxa"/>
            <w:tcBorders>
              <w:top w:val="single" w:sz="2" w:space="0" w:color="000000"/>
              <w:left w:val="single" w:sz="2" w:space="0" w:color="000000"/>
              <w:bottom w:val="single" w:sz="2" w:space="0" w:color="000000"/>
              <w:right w:val="single" w:sz="2" w:space="0" w:color="000000"/>
            </w:tcBorders>
            <w:shd w:fill="auto" w:val="clear"/>
          </w:tcPr>
          <w:p>
            <w:pPr>
              <w:pStyle w:val="Tabelleninhalt1"/>
              <w:numPr>
                <w:ilvl w:val="0"/>
                <w:numId w:val="3"/>
              </w:numPr>
              <w:rPr/>
            </w:pPr>
            <w:r>
              <w:rPr/>
              <w:t>GA, ggf. LSG</w:t>
            </w:r>
          </w:p>
          <w:p>
            <w:pPr>
              <w:pStyle w:val="Tabelleninhalt1"/>
              <w:rPr/>
            </w:pPr>
            <w:r>
              <w:rPr/>
            </w:r>
          </w:p>
          <w:p>
            <w:pPr>
              <w:pStyle w:val="Tabelleninhalt1"/>
              <w:rPr/>
            </w:pPr>
            <w:r>
              <w:rPr/>
            </w:r>
          </w:p>
          <w:p>
            <w:pPr>
              <w:pStyle w:val="Tabelleninhalt1"/>
              <w:rPr/>
            </w:pPr>
            <w:r>
              <w:rPr/>
              <w:t>UG</w:t>
            </w:r>
          </w:p>
        </w:tc>
      </w:tr>
      <w:tr>
        <w:trPr/>
        <w:tc>
          <w:tcPr>
            <w:tcW w:w="1419" w:type="dxa"/>
            <w:tcBorders>
              <w:top w:val="single" w:sz="2" w:space="0" w:color="000000"/>
              <w:left w:val="single" w:sz="2" w:space="0" w:color="000000"/>
              <w:bottom w:val="single" w:sz="2" w:space="0" w:color="000000"/>
            </w:tcBorders>
            <w:shd w:fill="auto" w:val="clear"/>
          </w:tcPr>
          <w:p>
            <w:pPr>
              <w:pStyle w:val="Tabelleninhalt1"/>
              <w:numPr>
                <w:ilvl w:val="0"/>
                <w:numId w:val="3"/>
              </w:numPr>
              <w:rPr/>
            </w:pPr>
            <w:r>
              <w:rPr/>
              <w:t>Vertiefung</w:t>
            </w:r>
          </w:p>
          <w:p>
            <w:pPr>
              <w:pStyle w:val="Tabelleninhalt1"/>
              <w:numPr>
                <w:ilvl w:val="0"/>
                <w:numId w:val="3"/>
              </w:numPr>
              <w:rPr/>
            </w:pPr>
            <w:r>
              <w:rPr/>
              <w:t>5‘</w:t>
            </w:r>
          </w:p>
        </w:tc>
        <w:tc>
          <w:tcPr>
            <w:tcW w:w="6520" w:type="dxa"/>
            <w:tcBorders>
              <w:top w:val="single" w:sz="2" w:space="0" w:color="000000"/>
              <w:left w:val="single" w:sz="2" w:space="0" w:color="000000"/>
              <w:bottom w:val="single" w:sz="2" w:space="0" w:color="000000"/>
            </w:tcBorders>
            <w:shd w:fill="auto" w:val="clear"/>
          </w:tcPr>
          <w:p>
            <w:pPr>
              <w:pStyle w:val="Tabelleninhalt1"/>
              <w:widowControl/>
              <w:numPr>
                <w:ilvl w:val="0"/>
                <w:numId w:val="11"/>
              </w:numPr>
              <w:suppressLineNumbers/>
              <w:suppressAutoHyphens w:val="true"/>
              <w:overflowPunct w:val="false"/>
              <w:bidi w:val="0"/>
              <w:jc w:val="left"/>
              <w:rPr/>
            </w:pPr>
            <w:r>
              <w:rPr/>
              <w:t>Durchführung des Demonstrationsexperiments zur Rotfluoreszenz von Chlorophyll.</w:t>
            </w:r>
          </w:p>
          <w:p>
            <w:pPr>
              <w:pStyle w:val="Tabelleninhalt1"/>
              <w:widowControl/>
              <w:numPr>
                <w:ilvl w:val="0"/>
                <w:numId w:val="11"/>
              </w:numPr>
              <w:suppressLineNumbers/>
              <w:suppressAutoHyphens w:val="true"/>
              <w:overflowPunct w:val="false"/>
              <w:bidi w:val="0"/>
              <w:jc w:val="left"/>
              <w:rPr/>
            </w:pPr>
            <w:r>
              <w:rPr/>
              <w:t>→ „</w:t>
            </w:r>
            <w:r>
              <w:rPr/>
              <w:t>Wenn Chlorophyll in Lösung mit Licht bestrahlt wird, strahlt die Lösung ein schwaches rotes Licht ab. Dies wird als Fluoreszenz bezeichnet. Erklären Sie das Phänomen!“</w:t>
              <w:br/>
            </w:r>
            <w:r>
              <w:rPr>
                <w:i/>
                <w:iCs/>
              </w:rPr>
              <w:t>Erwartete Antwort:</w:t>
              <w:br/>
              <w:t>Chlorophyllmoleküle absorbieren Lichtenergie. Diese wird letztlich in chemische Energie umgewandelt. ‚Überschüssige‘ Energie / Energie, die bei diesem Umwandlungsprozess ‚verloren geht‘, wird in Form von Fluoreszenz von den Chlorophyllmolekülen wieder abgegeben.</w:t>
            </w:r>
          </w:p>
        </w:tc>
        <w:tc>
          <w:tcPr>
            <w:tcW w:w="1701" w:type="dxa"/>
            <w:tcBorders>
              <w:top w:val="single" w:sz="2" w:space="0" w:color="000000"/>
              <w:left w:val="single" w:sz="2" w:space="0" w:color="000000"/>
              <w:bottom w:val="single" w:sz="2" w:space="0" w:color="000000"/>
              <w:right w:val="single" w:sz="2" w:space="0" w:color="000000"/>
            </w:tcBorders>
            <w:shd w:fill="auto" w:val="clear"/>
          </w:tcPr>
          <w:p>
            <w:pPr>
              <w:pStyle w:val="Tabelleninhalt1"/>
              <w:widowControl/>
              <w:numPr>
                <w:ilvl w:val="0"/>
                <w:numId w:val="3"/>
              </w:numPr>
              <w:suppressLineNumbers/>
              <w:suppressAutoHyphens w:val="true"/>
              <w:overflowPunct w:val="false"/>
              <w:bidi w:val="0"/>
              <w:ind w:left="0" w:right="0" w:hanging="0"/>
              <w:jc w:val="left"/>
              <w:rPr/>
            </w:pPr>
            <w:r>
              <w:rPr/>
              <w:t xml:space="preserve">EXP, </w:t>
            </w:r>
          </w:p>
          <w:p>
            <w:pPr>
              <w:pStyle w:val="Tabelleninhalt1"/>
              <w:widowControl/>
              <w:suppressLineNumbers/>
              <w:suppressAutoHyphens w:val="true"/>
              <w:overflowPunct w:val="false"/>
              <w:bidi w:val="0"/>
              <w:ind w:left="0" w:right="0" w:hanging="0"/>
              <w:jc w:val="left"/>
              <w:rPr/>
            </w:pPr>
            <w:r>
              <w:rPr/>
            </w:r>
          </w:p>
          <w:p>
            <w:pPr>
              <w:pStyle w:val="Tabelleninhalt1"/>
              <w:widowControl/>
              <w:numPr>
                <w:ilvl w:val="0"/>
                <w:numId w:val="3"/>
              </w:numPr>
              <w:suppressLineNumbers/>
              <w:suppressAutoHyphens w:val="true"/>
              <w:overflowPunct w:val="false"/>
              <w:bidi w:val="0"/>
              <w:ind w:left="0" w:right="0" w:hanging="0"/>
              <w:jc w:val="left"/>
              <w:rPr/>
            </w:pPr>
            <w:r>
              <w:rPr/>
              <w:t>UG</w:t>
            </w:r>
          </w:p>
        </w:tc>
      </w:tr>
    </w:tbl>
    <w:p>
      <w:pPr>
        <w:pStyle w:val="Berschrift2"/>
        <w:numPr>
          <w:ilvl w:val="1"/>
          <w:numId w:val="2"/>
        </w:numPr>
        <w:ind w:left="0" w:right="0" w:hanging="0"/>
        <w:rPr/>
      </w:pPr>
      <w:r>
        <w:rPr/>
        <w:t>Anleitung zur Durchführung der Demonstrationsexperimente</w:t>
      </w:r>
    </w:p>
    <w:p>
      <w:pPr>
        <w:pStyle w:val="Textkrper"/>
        <w:rPr>
          <w:b/>
          <w:b/>
          <w:bCs/>
        </w:rPr>
      </w:pPr>
      <w:r>
        <w:rPr>
          <w:b/>
          <w:bCs/>
        </w:rPr>
        <w:t>1. Absorptionsspektrum</w:t>
      </w:r>
    </w:p>
    <w:tbl>
      <w:tblPr>
        <w:tblW w:w="9638" w:type="dxa"/>
        <w:jc w:val="left"/>
        <w:tblInd w:w="0" w:type="dxa"/>
        <w:tblCellMar>
          <w:top w:w="55" w:type="dxa"/>
          <w:left w:w="52" w:type="dxa"/>
          <w:bottom w:w="55" w:type="dxa"/>
          <w:right w:w="55" w:type="dxa"/>
        </w:tblCellMar>
      </w:tblPr>
      <w:tblGrid>
        <w:gridCol w:w="4818"/>
        <w:gridCol w:w="4819"/>
      </w:tblGrid>
      <w:tr>
        <w:trPr/>
        <w:tc>
          <w:tcPr>
            <w:tcW w:w="4818" w:type="dxa"/>
            <w:tcBorders>
              <w:top w:val="single" w:sz="2" w:space="0" w:color="000000"/>
              <w:left w:val="single" w:sz="2" w:space="0" w:color="000000"/>
              <w:bottom w:val="single" w:sz="2" w:space="0" w:color="000000"/>
            </w:tcBorders>
            <w:shd w:fill="auto" w:val="clear"/>
          </w:tcPr>
          <w:p>
            <w:pPr>
              <w:pStyle w:val="Tabelleninhalt1"/>
              <w:rPr>
                <w:sz w:val="4"/>
                <w:szCs w:val="4"/>
              </w:rPr>
            </w:pPr>
            <w:r>
              <w:rPr>
                <w:sz w:val="4"/>
                <w:szCs w:val="4"/>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2990215" cy="2242185"/>
                  <wp:effectExtent l="0" t="0" r="0" b="0"/>
                  <wp:wrapSquare wrapText="largest"/>
                  <wp:docPr id="3"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 descr=""/>
                          <pic:cNvPicPr>
                            <a:picLocks noChangeAspect="1" noChangeArrowheads="1"/>
                          </pic:cNvPicPr>
                        </pic:nvPicPr>
                        <pic:blipFill>
                          <a:blip r:embed="rId4"/>
                          <a:stretch>
                            <a:fillRect/>
                          </a:stretch>
                        </pic:blipFill>
                        <pic:spPr bwMode="auto">
                          <a:xfrm>
                            <a:off x="0" y="0"/>
                            <a:ext cx="2990215" cy="2242185"/>
                          </a:xfrm>
                          <a:prstGeom prst="rect">
                            <a:avLst/>
                          </a:prstGeom>
                        </pic:spPr>
                      </pic:pic>
                    </a:graphicData>
                  </a:graphic>
                </wp:anchor>
              </w:drawing>
            </w:r>
          </w:p>
        </w:tc>
        <w:tc>
          <w:tcPr>
            <w:tcW w:w="4819" w:type="dxa"/>
            <w:tcBorders>
              <w:top w:val="single" w:sz="2" w:space="0" w:color="000000"/>
              <w:left w:val="single" w:sz="2" w:space="0" w:color="000000"/>
              <w:bottom w:val="single" w:sz="2" w:space="0" w:color="000000"/>
              <w:right w:val="single" w:sz="2" w:space="0" w:color="000000"/>
            </w:tcBorders>
            <w:shd w:fill="auto" w:val="clear"/>
          </w:tcPr>
          <w:p>
            <w:pPr>
              <w:pStyle w:val="Tabelleninhalt1"/>
              <w:rPr>
                <w:b/>
                <w:b/>
                <w:bCs/>
                <w:i/>
                <w:i/>
                <w:iCs/>
              </w:rPr>
            </w:pPr>
            <w:r>
              <w:rPr>
                <w:b/>
                <w:bCs/>
                <w:i/>
                <w:iCs/>
              </w:rPr>
              <w:t>Benötigtes Material:</w:t>
            </w:r>
          </w:p>
          <w:p>
            <w:pPr>
              <w:pStyle w:val="Tabelleninhalt1"/>
              <w:rPr>
                <w:b/>
                <w:b/>
                <w:bCs/>
                <w:i/>
                <w:i/>
                <w:iCs/>
                <w:sz w:val="8"/>
                <w:szCs w:val="8"/>
              </w:rPr>
            </w:pPr>
            <w:r>
              <w:rPr>
                <w:b/>
                <w:bCs/>
                <w:i/>
                <w:iCs/>
                <w:sz w:val="8"/>
                <w:szCs w:val="8"/>
              </w:rPr>
            </w:r>
          </w:p>
          <w:p>
            <w:pPr>
              <w:pStyle w:val="Tabelleninhalt1"/>
              <w:numPr>
                <w:ilvl w:val="0"/>
                <w:numId w:val="12"/>
              </w:numPr>
              <w:rPr/>
            </w:pPr>
            <w:r>
              <w:rPr/>
              <w:t>Tageslichtprojektor</w:t>
            </w:r>
          </w:p>
          <w:p>
            <w:pPr>
              <w:pStyle w:val="Tabelleninhalt1"/>
              <w:numPr>
                <w:ilvl w:val="0"/>
                <w:numId w:val="12"/>
              </w:numPr>
              <w:rPr/>
            </w:pPr>
            <w:r>
              <w:rPr/>
              <w:t>Schlitzblende aus Pappe (lichtdicht, muss die Leuchtfläche des Projektors vollständig abdecken, Schlitzgröße ca. 0,5 x 3,5 cm)</w:t>
            </w:r>
          </w:p>
          <w:p>
            <w:pPr>
              <w:pStyle w:val="Tabelleninhalt1"/>
              <w:numPr>
                <w:ilvl w:val="0"/>
                <w:numId w:val="12"/>
              </w:numPr>
              <w:rPr/>
            </w:pPr>
            <w:r>
              <w:rPr/>
              <w:t>Prisma (mit Klemmhalterung)</w:t>
            </w:r>
          </w:p>
          <w:p>
            <w:pPr>
              <w:pStyle w:val="Tabelleninhalt1"/>
              <w:numPr>
                <w:ilvl w:val="0"/>
                <w:numId w:val="12"/>
              </w:numPr>
              <w:rPr/>
            </w:pPr>
            <w:r>
              <w:rPr/>
              <w:t>Stativmaterial</w:t>
            </w:r>
          </w:p>
          <w:p>
            <w:pPr>
              <w:pStyle w:val="Tabelleninhalt1"/>
              <w:numPr>
                <w:ilvl w:val="0"/>
                <w:numId w:val="12"/>
              </w:numPr>
              <w:rPr/>
            </w:pPr>
            <w:r>
              <w:rPr/>
              <w:t>Petrischale</w:t>
            </w:r>
          </w:p>
          <w:p>
            <w:pPr>
              <w:pStyle w:val="Tabelleninhalt1"/>
              <w:numPr>
                <w:ilvl w:val="0"/>
                <w:numId w:val="12"/>
              </w:numPr>
              <w:rPr/>
            </w:pPr>
            <w:r>
              <w:rPr/>
              <w:t>Pipette</w:t>
            </w:r>
          </w:p>
          <w:p>
            <w:pPr>
              <w:pStyle w:val="Tabelleninhalt1"/>
              <w:numPr>
                <w:ilvl w:val="0"/>
                <w:numId w:val="12"/>
              </w:numPr>
              <w:rPr/>
            </w:pPr>
            <w:r>
              <w:rPr/>
              <w:t>Chlorophyllrohlösung (frisch oder Reste vom Schülerpraktikum, maximal wenige Tage alt und im Kühlschrank licht- und luftdicht aufbewahrt)</w:t>
            </w:r>
          </w:p>
        </w:tc>
      </w:tr>
    </w:tbl>
    <w:p>
      <w:pPr>
        <w:pStyle w:val="Textkrper"/>
        <w:rPr>
          <w:b/>
          <w:b/>
          <w:bCs/>
          <w:sz w:val="8"/>
          <w:szCs w:val="8"/>
        </w:rPr>
      </w:pPr>
      <w:r>
        <w:rPr>
          <w:b/>
          <w:bCs/>
          <w:sz w:val="8"/>
          <w:szCs w:val="8"/>
        </w:rPr>
        <mc:AlternateContent>
          <mc:Choice Requires="wps">
            <w:drawing>
              <wp:anchor behindDoc="0" distT="0" distB="0" distL="0" distR="0" simplePos="0" locked="0" layoutInCell="1" allowOverlap="1" relativeHeight="8">
                <wp:simplePos x="0" y="0"/>
                <wp:positionH relativeFrom="column">
                  <wp:posOffset>34290</wp:posOffset>
                </wp:positionH>
                <wp:positionV relativeFrom="paragraph">
                  <wp:posOffset>17780</wp:posOffset>
                </wp:positionV>
                <wp:extent cx="1556385" cy="168275"/>
                <wp:effectExtent l="0" t="0" r="0" b="0"/>
                <wp:wrapNone/>
                <wp:docPr id="4" name="Form1_0"/>
                <a:graphic xmlns:a="http://schemas.openxmlformats.org/drawingml/2006/main">
                  <a:graphicData uri="http://schemas.microsoft.com/office/word/2010/wordprocessingShape">
                    <wps:wsp>
                      <wps:cNvSpPr txBox="1"/>
                      <wps:spPr>
                        <a:xfrm>
                          <a:off x="0" y="0"/>
                          <a:ext cx="1555920" cy="167760"/>
                        </a:xfrm>
                        <a:prstGeom prst="rect">
                          <a:avLst/>
                        </a:prstGeom>
                        <a:noFill/>
                        <a:ln>
                          <a:noFill/>
                        </a:ln>
                      </wps:spPr>
                      <wps:txbx>
                        <w:txbxContent>
                          <w:p>
                            <w:pPr>
                              <w:rPr/>
                            </w:pPr>
                            <w:r>
                              <w:rPr>
                                <w:kern w:val="2"/>
                                <w:sz w:val="16"/>
                                <w:szCs w:val="16"/>
                                <w:rFonts w:eastAsia="Noto Sans CJK SC" w:cs="Lohit Devanagari" w:ascii="Arial" w:hAnsi="Arial"/>
                                <w:lang w:bidi="hi-IN"/>
                              </w:rPr>
                              <w:t>Foto: A. Theil-Schiebel</w:t>
                            </w:r>
                          </w:p>
                        </w:txbxContent>
                      </wps:txbx>
                      <wps:bodyPr wrap="square" lIns="0" rIns="0" tIns="0" bIns="0">
                        <a:spAutoFit/>
                      </wps:bodyPr>
                    </wps:wsp>
                  </a:graphicData>
                </a:graphic>
              </wp:anchor>
            </w:drawing>
          </mc:Choice>
          <mc:Fallback>
            <w:pict>
              <v:shape id="shape_0" ID="Form1_0" stroked="f" style="position:absolute;margin-left:2.7pt;margin-top:1.4pt;width:122.45pt;height:13.15pt" type="shapetype_202">
                <v:textbox>
                  <w:txbxContent>
                    <w:p>
                      <w:pPr>
                        <w:rPr/>
                      </w:pPr>
                      <w:r>
                        <w:rPr>
                          <w:kern w:val="2"/>
                          <w:sz w:val="16"/>
                          <w:szCs w:val="16"/>
                          <w:rFonts w:eastAsia="Noto Sans CJK SC" w:cs="Lohit Devanagari" w:ascii="Arial" w:hAnsi="Arial"/>
                          <w:lang w:bidi="hi-IN"/>
                        </w:rPr>
                        <w:t>Foto: A. Theil-Schiebel</w:t>
                      </w:r>
                    </w:p>
                  </w:txbxContent>
                </v:textbox>
                <w10:wrap type="square"/>
                <v:fill o:detectmouseclick="t" on="false"/>
                <v:stroke color="black" joinstyle="round" endcap="flat"/>
              </v:shape>
            </w:pict>
          </mc:Fallback>
        </mc:AlternateContent>
      </w:r>
    </w:p>
    <w:p>
      <w:pPr>
        <w:pStyle w:val="Textkrper"/>
        <w:rPr>
          <w:b/>
          <w:b/>
          <w:bCs/>
          <w:i/>
          <w:i/>
          <w:iCs/>
        </w:rPr>
      </w:pPr>
      <w:r>
        <w:rPr>
          <w:b/>
          <w:bCs/>
          <w:i/>
          <w:iCs/>
        </w:rPr>
        <w:t>Vorbereitung:</w:t>
      </w:r>
    </w:p>
    <w:p>
      <w:pPr>
        <w:pStyle w:val="Textkrper"/>
        <w:numPr>
          <w:ilvl w:val="0"/>
          <w:numId w:val="13"/>
        </w:numPr>
        <w:rPr>
          <w:b w:val="false"/>
          <w:b w:val="false"/>
          <w:bCs w:val="false"/>
        </w:rPr>
      </w:pPr>
      <w:r>
        <w:rPr>
          <w:b w:val="false"/>
          <w:bCs w:val="false"/>
        </w:rPr>
        <w:t>Schlitzblende auf den Tageslichtprojektor legen, Tageslichtprojektor so einstellen, dass die Blendenöffnung auf der Projektionsfläche scharf abgebildet wird.</w:t>
      </w:r>
    </w:p>
    <w:p>
      <w:pPr>
        <w:pStyle w:val="Textkrper"/>
        <w:numPr>
          <w:ilvl w:val="0"/>
          <w:numId w:val="13"/>
        </w:numPr>
        <w:rPr>
          <w:b w:val="false"/>
          <w:b w:val="false"/>
          <w:bCs w:val="false"/>
        </w:rPr>
      </w:pPr>
      <w:r>
        <w:rPr>
          <w:b w:val="false"/>
          <w:bCs w:val="false"/>
        </w:rPr>
        <w:t>Klemmhalterung am Stativ befestigen, Prisma in die Klemmhalterung stellen und grob im Lichtstrahl des Tageslichtprojektors platzieren.</w:t>
      </w:r>
    </w:p>
    <w:p>
      <w:pPr>
        <w:pStyle w:val="Textkrper"/>
        <w:numPr>
          <w:ilvl w:val="0"/>
          <w:numId w:val="13"/>
        </w:numPr>
        <w:rPr>
          <w:b w:val="false"/>
          <w:b w:val="false"/>
          <w:bCs w:val="false"/>
        </w:rPr>
      </w:pPr>
      <w:r>
        <w:rPr>
          <w:b w:val="false"/>
          <w:bCs w:val="false"/>
        </w:rPr>
        <w:t>Raum abdunkeln. Prisma so platzieren, dass der Schatten des Prismas in der Blendenöffnung an der Projektionsfläche zu sehen ist.</w:t>
      </w:r>
    </w:p>
    <w:p>
      <w:pPr>
        <w:pStyle w:val="Textkrper"/>
        <w:numPr>
          <w:ilvl w:val="0"/>
          <w:numId w:val="13"/>
        </w:numPr>
        <w:rPr>
          <w:b w:val="false"/>
          <w:b w:val="false"/>
          <w:bCs w:val="false"/>
        </w:rPr>
      </w:pPr>
      <w:r>
        <w:rPr>
          <w:b w:val="false"/>
          <w:bCs w:val="false"/>
        </w:rPr>
        <w:t>Prisma in der Klemmhalterung so lange drehen, bis das Farbspektrum an einer geeigneten Stelle an einer weißen Wand im Raum abgebildet wird.</w:t>
      </w:r>
    </w:p>
    <w:p>
      <w:pPr>
        <w:pStyle w:val="Textkrper"/>
        <w:numPr>
          <w:ilvl w:val="0"/>
          <w:numId w:val="13"/>
        </w:numPr>
        <w:rPr>
          <w:b w:val="false"/>
          <w:b w:val="false"/>
          <w:bCs w:val="false"/>
        </w:rPr>
      </w:pPr>
      <w:r>
        <w:rPr>
          <w:b w:val="false"/>
          <w:bCs w:val="false"/>
        </w:rPr>
        <w:t>Petrischale, Pipette und Chlorophylllösung (frisch oder aus dem Külschrank) bereitstellen (Gefäß bis zum Gebrauch licht- und luftdicht verschlossen halten).</w:t>
      </w:r>
    </w:p>
    <w:p>
      <w:pPr>
        <w:pStyle w:val="Textkrper"/>
        <w:rPr>
          <w:b/>
          <w:b/>
          <w:bCs/>
          <w:i/>
          <w:i/>
          <w:iCs/>
        </w:rPr>
      </w:pPr>
      <w:r>
        <w:rPr>
          <w:b/>
          <w:bCs/>
          <w:i/>
          <w:iCs/>
        </w:rPr>
        <w:t>Durchführung:</w:t>
      </w:r>
    </w:p>
    <w:p>
      <w:pPr>
        <w:pStyle w:val="Textkrper"/>
        <w:numPr>
          <w:ilvl w:val="0"/>
          <w:numId w:val="14"/>
        </w:numPr>
        <w:rPr>
          <w:b w:val="false"/>
          <w:b w:val="false"/>
          <w:bCs w:val="false"/>
          <w:i w:val="false"/>
          <w:i w:val="false"/>
          <w:iCs w:val="false"/>
        </w:rPr>
      </w:pPr>
      <w:r>
        <w:rPr>
          <w:b w:val="false"/>
          <w:bCs w:val="false"/>
          <w:i w:val="false"/>
          <w:iCs w:val="false"/>
        </w:rPr>
        <w:t>Raum abdunkeln, Tageslichtprojektor einschalten, Farbspektrum (vgl. Abb. 1) zeigen, ggf. dokumentieren (Foto).</w:t>
      </w:r>
    </w:p>
    <w:p>
      <w:pPr>
        <w:pStyle w:val="Textkrper"/>
        <w:numPr>
          <w:ilvl w:val="0"/>
          <w:numId w:val="14"/>
        </w:numPr>
        <w:rPr>
          <w:b w:val="false"/>
          <w:b w:val="false"/>
          <w:bCs w:val="false"/>
          <w:i w:val="false"/>
          <w:i w:val="false"/>
          <w:iCs w:val="false"/>
        </w:rPr>
      </w:pPr>
      <w:r>
        <w:rPr>
          <w:b w:val="false"/>
          <w:bCs w:val="false"/>
          <w:i w:val="false"/>
          <w:iCs w:val="false"/>
        </w:rPr>
        <w:t>Nur so viel Chlorophylllösung in die Petrischale pipettieren, dass der Boden gerade bedeckt ist.</w:t>
      </w:r>
    </w:p>
    <w:p>
      <w:pPr>
        <w:pStyle w:val="Textkrper"/>
        <w:numPr>
          <w:ilvl w:val="0"/>
          <w:numId w:val="14"/>
        </w:numPr>
        <w:rPr>
          <w:b w:val="false"/>
          <w:b w:val="false"/>
          <w:bCs w:val="false"/>
          <w:i w:val="false"/>
          <w:i w:val="false"/>
          <w:iCs w:val="false"/>
        </w:rPr>
      </w:pPr>
      <w:r>
        <w:rPr>
          <w:b w:val="false"/>
          <w:bCs w:val="false"/>
          <w:i w:val="false"/>
          <w:iCs w:val="false"/>
        </w:rPr>
        <w:t>Petrischale auf den Blendenschlitz stellen.</w:t>
      </w:r>
    </w:p>
    <w:p>
      <w:pPr>
        <w:pStyle w:val="Textkrper"/>
        <w:numPr>
          <w:ilvl w:val="0"/>
          <w:numId w:val="14"/>
        </w:numPr>
        <w:rPr>
          <w:b w:val="false"/>
          <w:b w:val="false"/>
          <w:bCs w:val="false"/>
          <w:i w:val="false"/>
          <w:i w:val="false"/>
          <w:iCs w:val="false"/>
        </w:rPr>
      </w:pPr>
      <w:r>
        <w:rPr>
          <w:b w:val="false"/>
          <w:bCs w:val="false"/>
          <w:i w:val="false"/>
          <w:iCs w:val="false"/>
        </w:rPr>
        <w:t>Das nun zu sehende Absorptionsspektrum (vgl. Abb. 2) des Chlorophylls ggf. dokumentieren (Foto).</w:t>
      </w:r>
    </w:p>
    <w:tbl>
      <w:tblPr>
        <w:tblW w:w="9638" w:type="dxa"/>
        <w:jc w:val="left"/>
        <w:tblInd w:w="0" w:type="dxa"/>
        <w:tblCellMar>
          <w:top w:w="55" w:type="dxa"/>
          <w:left w:w="52" w:type="dxa"/>
          <w:bottom w:w="55" w:type="dxa"/>
          <w:right w:w="55" w:type="dxa"/>
        </w:tblCellMar>
      </w:tblPr>
      <w:tblGrid>
        <w:gridCol w:w="4818"/>
        <w:gridCol w:w="4819"/>
      </w:tblGrid>
      <w:tr>
        <w:trPr/>
        <w:tc>
          <w:tcPr>
            <w:tcW w:w="4818" w:type="dxa"/>
            <w:tcBorders>
              <w:top w:val="single" w:sz="2" w:space="0" w:color="000000"/>
              <w:left w:val="single" w:sz="2" w:space="0" w:color="000000"/>
              <w:bottom w:val="single" w:sz="2" w:space="0" w:color="000000"/>
            </w:tcBorders>
            <w:shd w:fill="auto" w:val="clear"/>
          </w:tcPr>
          <w:p>
            <w:pPr>
              <w:pStyle w:val="Tabelleninhalt1"/>
              <w:rPr/>
            </w:pPr>
            <w: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2990215" cy="1367155"/>
                  <wp:effectExtent l="0" t="0" r="0" b="0"/>
                  <wp:wrapSquare wrapText="largest"/>
                  <wp:docPr id="5"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 descr=""/>
                          <pic:cNvPicPr>
                            <a:picLocks noChangeAspect="1" noChangeArrowheads="1"/>
                          </pic:cNvPicPr>
                        </pic:nvPicPr>
                        <pic:blipFill>
                          <a:blip r:embed="rId5"/>
                          <a:stretch>
                            <a:fillRect/>
                          </a:stretch>
                        </pic:blipFill>
                        <pic:spPr bwMode="auto">
                          <a:xfrm>
                            <a:off x="0" y="0"/>
                            <a:ext cx="2990215" cy="1367155"/>
                          </a:xfrm>
                          <a:prstGeom prst="rect">
                            <a:avLst/>
                          </a:prstGeom>
                        </pic:spPr>
                      </pic:pic>
                    </a:graphicData>
                  </a:graphic>
                </wp:anchor>
              </w:drawing>
            </w:r>
            <w:r>
              <w:rPr/>
              <w:t>A</w:t>
            </w:r>
            <w:r>
              <w:rPr/>
              <w:t>bb. 1: Farbspektrum</w:t>
            </w:r>
          </w:p>
        </w:tc>
        <w:tc>
          <w:tcPr>
            <w:tcW w:w="4819" w:type="dxa"/>
            <w:tcBorders>
              <w:top w:val="single" w:sz="2" w:space="0" w:color="000000"/>
              <w:left w:val="single" w:sz="2" w:space="0" w:color="000000"/>
              <w:bottom w:val="single" w:sz="2" w:space="0" w:color="000000"/>
              <w:right w:val="single" w:sz="2" w:space="0" w:color="000000"/>
            </w:tcBorders>
            <w:shd w:fill="auto" w:val="clear"/>
          </w:tcPr>
          <w:p>
            <w:pPr>
              <w:pStyle w:val="Tabelleninhalt1"/>
              <w:rPr/>
            </w:pPr>
            <w: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2990215" cy="1370330"/>
                  <wp:effectExtent l="0" t="0" r="0" b="0"/>
                  <wp:wrapSquare wrapText="largest"/>
                  <wp:docPr id="6"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3" descr=""/>
                          <pic:cNvPicPr>
                            <a:picLocks noChangeAspect="1" noChangeArrowheads="1"/>
                          </pic:cNvPicPr>
                        </pic:nvPicPr>
                        <pic:blipFill>
                          <a:blip r:embed="rId6"/>
                          <a:stretch>
                            <a:fillRect/>
                          </a:stretch>
                        </pic:blipFill>
                        <pic:spPr bwMode="auto">
                          <a:xfrm>
                            <a:off x="0" y="0"/>
                            <a:ext cx="2990215" cy="1370330"/>
                          </a:xfrm>
                          <a:prstGeom prst="rect">
                            <a:avLst/>
                          </a:prstGeom>
                        </pic:spPr>
                      </pic:pic>
                    </a:graphicData>
                  </a:graphic>
                </wp:anchor>
              </w:drawing>
            </w:r>
            <w:r>
              <w:rPr/>
              <w:t>A</w:t>
            </w:r>
            <w:r>
              <w:rPr/>
              <w:t>bb. 2: Absorptionsspektrum des Chlorophylls</w:t>
            </w:r>
          </w:p>
        </w:tc>
      </w:tr>
    </w:tbl>
    <w:p>
      <w:pPr>
        <w:pStyle w:val="Textkrper"/>
        <w:rPr>
          <w:b/>
          <w:b/>
          <w:bCs/>
          <w:i w:val="false"/>
          <w:i w:val="false"/>
          <w:iCs w:val="false"/>
        </w:rPr>
      </w:pPr>
      <w:r>
        <w:rPr>
          <w:b/>
          <w:bCs/>
          <w:i w:val="false"/>
          <w:iCs w:val="false"/>
        </w:rPr>
        <mc:AlternateContent>
          <mc:Choice Requires="wps">
            <w:drawing>
              <wp:anchor behindDoc="0" distT="0" distB="0" distL="0" distR="0" simplePos="0" locked="0" layoutInCell="1" allowOverlap="1" relativeHeight="9">
                <wp:simplePos x="0" y="0"/>
                <wp:positionH relativeFrom="column">
                  <wp:posOffset>34290</wp:posOffset>
                </wp:positionH>
                <wp:positionV relativeFrom="paragraph">
                  <wp:posOffset>17780</wp:posOffset>
                </wp:positionV>
                <wp:extent cx="1556385" cy="168275"/>
                <wp:effectExtent l="0" t="0" r="0" b="0"/>
                <wp:wrapNone/>
                <wp:docPr id="7" name="Form1_1"/>
                <a:graphic xmlns:a="http://schemas.openxmlformats.org/drawingml/2006/main">
                  <a:graphicData uri="http://schemas.microsoft.com/office/word/2010/wordprocessingShape">
                    <wps:wsp>
                      <wps:cNvSpPr txBox="1"/>
                      <wps:spPr>
                        <a:xfrm>
                          <a:off x="0" y="0"/>
                          <a:ext cx="1555920" cy="167760"/>
                        </a:xfrm>
                        <a:prstGeom prst="rect">
                          <a:avLst/>
                        </a:prstGeom>
                        <a:noFill/>
                        <a:ln>
                          <a:noFill/>
                        </a:ln>
                      </wps:spPr>
                      <wps:txbx>
                        <w:txbxContent>
                          <w:p>
                            <w:pPr>
                              <w:rPr/>
                            </w:pPr>
                            <w:r>
                              <w:rPr>
                                <w:kern w:val="2"/>
                                <w:sz w:val="16"/>
                                <w:szCs w:val="16"/>
                                <w:rFonts w:eastAsia="Noto Sans CJK SC" w:cs="Lohit Devanagari" w:ascii="Arial" w:hAnsi="Arial"/>
                                <w:lang w:bidi="hi-IN"/>
                              </w:rPr>
                              <w:t>Fotos: A. Theil-Schiebel</w:t>
                            </w:r>
                          </w:p>
                        </w:txbxContent>
                      </wps:txbx>
                      <wps:bodyPr wrap="square" lIns="0" rIns="0" tIns="0" bIns="0">
                        <a:spAutoFit/>
                      </wps:bodyPr>
                    </wps:wsp>
                  </a:graphicData>
                </a:graphic>
              </wp:anchor>
            </w:drawing>
          </mc:Choice>
          <mc:Fallback>
            <w:pict>
              <v:shape id="shape_0" ID="Form1_1" stroked="f" style="position:absolute;margin-left:2.7pt;margin-top:1.4pt;width:122.45pt;height:13.15pt" type="shapetype_202">
                <v:textbox>
                  <w:txbxContent>
                    <w:p>
                      <w:pPr>
                        <w:rPr/>
                      </w:pPr>
                      <w:r>
                        <w:rPr>
                          <w:kern w:val="2"/>
                          <w:sz w:val="16"/>
                          <w:szCs w:val="16"/>
                          <w:rFonts w:eastAsia="Noto Sans CJK SC" w:cs="Lohit Devanagari" w:ascii="Arial" w:hAnsi="Arial"/>
                          <w:lang w:bidi="hi-IN"/>
                        </w:rPr>
                        <w:t>Fotos: A. Theil-Schiebel</w:t>
                      </w:r>
                    </w:p>
                  </w:txbxContent>
                </v:textbox>
                <w10:wrap type="square"/>
                <v:fill o:detectmouseclick="t" on="false"/>
                <v:stroke color="black" joinstyle="round" endcap="flat"/>
              </v:shape>
            </w:pict>
          </mc:Fallback>
        </mc:AlternateContent>
      </w:r>
      <w:r>
        <w:br w:type="page"/>
      </w:r>
    </w:p>
    <w:p>
      <w:pPr>
        <w:pStyle w:val="Textkrper"/>
        <w:rPr>
          <w:b/>
          <w:b/>
          <w:bCs/>
          <w:i w:val="false"/>
          <w:i w:val="false"/>
          <w:iCs w:val="false"/>
        </w:rPr>
      </w:pPr>
      <w:r>
        <w:rPr>
          <w:b/>
          <w:bCs/>
          <w:i w:val="false"/>
          <w:iCs w:val="false"/>
        </w:rPr>
        <w:t>2. Rotfluoreszenz des Chlorophylls</w:t>
      </w:r>
    </w:p>
    <w:p>
      <w:pPr>
        <w:pStyle w:val="Textkrper"/>
        <w:numPr>
          <w:ilvl w:val="0"/>
          <w:numId w:val="15"/>
        </w:numPr>
        <w:rPr>
          <w:b w:val="false"/>
          <w:b w:val="false"/>
          <w:bCs w:val="false"/>
          <w:i w:val="false"/>
          <w:i w:val="false"/>
          <w:iCs w:val="false"/>
        </w:rPr>
      </w:pPr>
      <w:r>
        <w:rPr>
          <w:b w:val="false"/>
          <w:bCs w:val="false"/>
          <w:i w:val="false"/>
          <w:iCs w:val="false"/>
        </w:rPr>
        <w:t>Der Erlenmeyerkolben mit der Chlorophylllösung erst direkt vor der Versuchsdurchführung von der Alufolie befreien.</w:t>
      </w:r>
    </w:p>
    <w:p>
      <w:pPr>
        <w:pStyle w:val="Textkrper"/>
        <w:numPr>
          <w:ilvl w:val="0"/>
          <w:numId w:val="15"/>
        </w:numPr>
        <w:rPr>
          <w:b w:val="false"/>
          <w:b w:val="false"/>
          <w:bCs w:val="false"/>
          <w:i w:val="false"/>
          <w:i w:val="false"/>
          <w:iCs w:val="false"/>
        </w:rPr>
      </w:pPr>
      <w:r>
        <w:rPr>
          <w:b w:val="false"/>
          <w:bCs w:val="false"/>
          <w:i w:val="false"/>
          <w:iCs w:val="false"/>
        </w:rPr>
        <w:t>Raum abdunkeln, Tageslichtprojektor einschalten, den Kolben in den Lichtstrahl halten.</w:t>
      </w:r>
    </w:p>
    <w:p>
      <w:pPr>
        <w:pStyle w:val="Textkrper"/>
        <w:numPr>
          <w:ilvl w:val="0"/>
          <w:numId w:val="15"/>
        </w:numPr>
        <w:rPr>
          <w:b w:val="false"/>
          <w:b w:val="false"/>
          <w:bCs w:val="false"/>
          <w:i w:val="false"/>
          <w:i w:val="false"/>
          <w:iCs w:val="false"/>
        </w:rPr>
      </w:pPr>
      <w:r>
        <w:rPr>
          <w:b w:val="false"/>
          <w:bCs w:val="false"/>
          <w:i w:val="false"/>
          <w:iCs w:val="false"/>
        </w:rPr>
        <w:t>Rotfluoreszenz ggf. dokumentieren (Foto).</w:t>
      </w:r>
    </w:p>
    <w:p>
      <w:pPr>
        <w:pStyle w:val="Textkrper"/>
        <w:rPr>
          <w:b w:val="false"/>
          <w:b w:val="false"/>
          <w:bCs w:val="false"/>
          <w:i w:val="false"/>
          <w:i w:val="false"/>
          <w:iCs w:val="false"/>
        </w:rPr>
      </w:pPr>
      <w:r>
        <w:rPr>
          <w:b w:val="false"/>
          <w:bCs w:val="false"/>
          <w:i w:val="false"/>
          <w:iCs w:val="false"/>
        </w:rPr>
        <w:drawing>
          <wp:anchor behindDoc="0" distT="0" distB="0" distL="0" distR="0" simplePos="0" locked="0" layoutInCell="1" allowOverlap="1" relativeHeight="5">
            <wp:simplePos x="0" y="0"/>
            <wp:positionH relativeFrom="column">
              <wp:posOffset>482600</wp:posOffset>
            </wp:positionH>
            <wp:positionV relativeFrom="paragraph">
              <wp:posOffset>43180</wp:posOffset>
            </wp:positionV>
            <wp:extent cx="2793365" cy="3021965"/>
            <wp:effectExtent l="0" t="0" r="0" b="0"/>
            <wp:wrapSquare wrapText="largest"/>
            <wp:docPr id="8"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4" descr=""/>
                    <pic:cNvPicPr>
                      <a:picLocks noChangeAspect="1" noChangeArrowheads="1"/>
                    </pic:cNvPicPr>
                  </pic:nvPicPr>
                  <pic:blipFill>
                    <a:blip r:embed="rId7"/>
                    <a:stretch>
                      <a:fillRect/>
                    </a:stretch>
                  </pic:blipFill>
                  <pic:spPr bwMode="auto">
                    <a:xfrm>
                      <a:off x="0" y="0"/>
                      <a:ext cx="2793365" cy="3021965"/>
                    </a:xfrm>
                    <a:prstGeom prst="rect">
                      <a:avLst/>
                    </a:prstGeom>
                  </pic:spPr>
                </pic:pic>
              </a:graphicData>
            </a:graphic>
          </wp:anchor>
        </w:drawing>
      </w:r>
    </w:p>
    <w:p>
      <w:pPr>
        <w:pStyle w:val="Berschrift2"/>
        <w:pageBreakBefore w:val="false"/>
        <w:numPr>
          <w:ilvl w:val="1"/>
          <w:numId w:val="4"/>
        </w:numPr>
        <w:ind w:left="0" w:right="0" w:hanging="0"/>
        <w:rPr/>
      </w:pPr>
      <w:r>
        <w:rPr/>
      </w:r>
    </w:p>
    <w:p>
      <w:pPr>
        <w:pStyle w:val="Berschrift2"/>
        <w:pageBreakBefore w:val="false"/>
        <w:numPr>
          <w:ilvl w:val="1"/>
          <w:numId w:val="3"/>
        </w:numPr>
        <w:overflowPunct w:val="true"/>
        <w:rPr/>
      </w:pPr>
      <w:r>
        <w:rPr/>
      </w:r>
    </w:p>
    <w:p>
      <w:pPr>
        <w:pStyle w:val="Berschrift2"/>
        <w:numPr>
          <w:ilvl w:val="1"/>
          <w:numId w:val="3"/>
        </w:numPr>
        <w:overflowPunct w:val="true"/>
        <w:rPr/>
      </w:pPr>
      <w:r>
        <w:rPr/>
      </w:r>
    </w:p>
    <w:p>
      <w:pPr>
        <w:pStyle w:val="Berschrift2"/>
        <w:numPr>
          <w:ilvl w:val="1"/>
          <w:numId w:val="3"/>
        </w:numPr>
        <w:overflowPunct w:val="true"/>
        <w:rPr/>
      </w:pPr>
      <w:r>
        <w:rPr/>
      </w:r>
    </w:p>
    <w:p>
      <w:pPr>
        <w:pStyle w:val="Berschrift2"/>
        <w:numPr>
          <w:ilvl w:val="1"/>
          <w:numId w:val="3"/>
        </w:numPr>
        <w:overflowPunct w:val="true"/>
        <w:rPr/>
      </w:pPr>
      <w:r>
        <w:rPr/>
      </w:r>
    </w:p>
    <w:p>
      <w:pPr>
        <w:pStyle w:val="Berschrift2"/>
        <w:numPr>
          <w:ilvl w:val="1"/>
          <w:numId w:val="3"/>
        </w:numPr>
        <w:overflowPunct w:val="true"/>
        <w:rPr/>
      </w:pPr>
      <w:r>
        <w:rPr/>
      </w:r>
    </w:p>
    <w:p>
      <w:pPr>
        <w:pStyle w:val="Berschrift2"/>
        <w:numPr>
          <w:ilvl w:val="1"/>
          <w:numId w:val="3"/>
        </w:numPr>
        <w:overflowPunct w:val="true"/>
        <w:rPr/>
      </w:pPr>
      <w:r>
        <w:rPr/>
      </w:r>
    </w:p>
    <w:p>
      <w:pPr>
        <w:pStyle w:val="Berschrift2"/>
        <w:numPr>
          <w:ilvl w:val="1"/>
          <w:numId w:val="3"/>
        </w:numPr>
        <w:overflowPunct w:val="true"/>
        <w:rPr/>
      </w:pPr>
      <w:r>
        <w:rPr/>
      </w:r>
    </w:p>
    <w:p>
      <w:pPr>
        <w:pStyle w:val="Berschrift2"/>
        <w:numPr>
          <w:ilvl w:val="1"/>
          <w:numId w:val="3"/>
        </w:numPr>
        <w:overflowPunct w:val="true"/>
        <w:rPr/>
      </w:pPr>
      <w:r>
        <w:rPr/>
      </w:r>
    </w:p>
    <w:p>
      <w:pPr>
        <w:pStyle w:val="Berschrift2"/>
        <w:numPr>
          <w:ilvl w:val="1"/>
          <w:numId w:val="3"/>
        </w:numPr>
        <w:overflowPunct w:val="true"/>
        <w:rPr/>
      </w:pPr>
      <w:r>
        <w:rPr/>
        <mc:AlternateContent>
          <mc:Choice Requires="wps">
            <w:drawing>
              <wp:anchor behindDoc="0" distT="0" distB="0" distL="0" distR="0" simplePos="0" locked="0" layoutInCell="1" allowOverlap="1" relativeHeight="10">
                <wp:simplePos x="0" y="0"/>
                <wp:positionH relativeFrom="column">
                  <wp:posOffset>-2785110</wp:posOffset>
                </wp:positionH>
                <wp:positionV relativeFrom="paragraph">
                  <wp:posOffset>163830</wp:posOffset>
                </wp:positionV>
                <wp:extent cx="1556385" cy="168275"/>
                <wp:effectExtent l="0" t="0" r="0" b="0"/>
                <wp:wrapNone/>
                <wp:docPr id="9" name="Form1_2"/>
                <a:graphic xmlns:a="http://schemas.openxmlformats.org/drawingml/2006/main">
                  <a:graphicData uri="http://schemas.microsoft.com/office/word/2010/wordprocessingShape">
                    <wps:wsp>
                      <wps:cNvSpPr txBox="1"/>
                      <wps:spPr>
                        <a:xfrm>
                          <a:off x="0" y="0"/>
                          <a:ext cx="1555920" cy="167760"/>
                        </a:xfrm>
                        <a:prstGeom prst="rect">
                          <a:avLst/>
                        </a:prstGeom>
                        <a:noFill/>
                        <a:ln>
                          <a:noFill/>
                        </a:ln>
                      </wps:spPr>
                      <wps:txbx>
                        <w:txbxContent>
                          <w:p>
                            <w:pPr>
                              <w:rPr/>
                            </w:pPr>
                            <w:r>
                              <w:rPr>
                                <w:kern w:val="2"/>
                                <w:sz w:val="16"/>
                                <w:szCs w:val="16"/>
                                <w:rFonts w:eastAsia="Noto Sans CJK SC" w:cs="Lohit Devanagari" w:ascii="Arial" w:hAnsi="Arial"/>
                                <w:lang w:bidi="hi-IN"/>
                              </w:rPr>
                              <w:t>Foto: A. Theil-Schiebel</w:t>
                            </w:r>
                          </w:p>
                        </w:txbxContent>
                      </wps:txbx>
                      <wps:bodyPr wrap="square" lIns="0" rIns="0" tIns="0" bIns="0">
                        <a:spAutoFit/>
                      </wps:bodyPr>
                    </wps:wsp>
                  </a:graphicData>
                </a:graphic>
              </wp:anchor>
            </w:drawing>
          </mc:Choice>
          <mc:Fallback>
            <w:pict>
              <v:shape id="shape_0" ID="Form1_2" stroked="f" style="position:absolute;margin-left:-219.3pt;margin-top:12.9pt;width:122.45pt;height:13.15pt" type="shapetype_202">
                <v:textbox>
                  <w:txbxContent>
                    <w:p>
                      <w:pPr>
                        <w:rPr/>
                      </w:pPr>
                      <w:r>
                        <w:rPr>
                          <w:kern w:val="2"/>
                          <w:sz w:val="16"/>
                          <w:szCs w:val="16"/>
                          <w:rFonts w:eastAsia="Noto Sans CJK SC" w:cs="Lohit Devanagari" w:ascii="Arial" w:hAnsi="Arial"/>
                          <w:lang w:bidi="hi-IN"/>
                        </w:rPr>
                        <w:t>Foto: A. Theil-Schiebel</w:t>
                      </w:r>
                    </w:p>
                  </w:txbxContent>
                </v:textbox>
                <w10:wrap type="square"/>
                <v:fill o:detectmouseclick="t" on="false"/>
                <v:stroke color="black" joinstyle="round" endcap="flat"/>
              </v:shape>
            </w:pict>
          </mc:Fallback>
        </mc:AlternateContent>
      </w:r>
    </w:p>
    <w:p>
      <w:pPr>
        <w:pStyle w:val="Berschrift2"/>
        <w:numPr>
          <w:ilvl w:val="1"/>
          <w:numId w:val="3"/>
        </w:numPr>
        <w:overflowPunct w:val="true"/>
        <w:rPr/>
      </w:pPr>
      <w:r>
        <w:rPr/>
      </w:r>
    </w:p>
    <w:p>
      <w:pPr>
        <w:pStyle w:val="Berschrift2"/>
        <w:numPr>
          <w:ilvl w:val="1"/>
          <w:numId w:val="3"/>
        </w:numPr>
        <w:overflowPunct w:val="true"/>
        <w:rPr/>
      </w:pPr>
      <w:r>
        <w:rPr/>
        <w:t>Lernvoraussetzungen für den Unterrichtsgang</w:t>
      </w:r>
    </w:p>
    <w:p>
      <w:pPr>
        <w:pStyle w:val="Textkrper"/>
        <w:numPr>
          <w:ilvl w:val="1"/>
          <w:numId w:val="6"/>
        </w:numPr>
        <w:overflowPunct w:val="true"/>
        <w:rPr/>
      </w:pPr>
      <w:r>
        <w:rPr/>
        <w:t xml:space="preserve">Zellbiologie </w:t>
      </w:r>
    </w:p>
    <w:p>
      <w:pPr>
        <w:pStyle w:val="Textkrper"/>
        <w:numPr>
          <w:ilvl w:val="1"/>
          <w:numId w:val="6"/>
        </w:numPr>
        <w:overflowPunct w:val="true"/>
        <w:rPr/>
      </w:pPr>
      <w:r>
        <w:rPr/>
        <w:t>Enzymatik</w:t>
      </w:r>
    </w:p>
    <w:p>
      <w:pPr>
        <w:pStyle w:val="Berschrift2"/>
        <w:numPr>
          <w:ilvl w:val="1"/>
          <w:numId w:val="4"/>
        </w:numPr>
        <w:ind w:left="0" w:right="0" w:hanging="0"/>
        <w:rPr/>
      </w:pPr>
      <w:r>
        <w:rPr/>
        <w:t>Verwendete Abkürzungen</w:t>
      </w:r>
    </w:p>
    <w:p>
      <w:pPr>
        <w:pStyle w:val="Textkrper"/>
        <w:rPr/>
      </w:pPr>
      <w:r>
        <w:rPr/>
        <w:t>AB:</w:t>
        <w:tab/>
        <w:t>Arbeitsblatt</w:t>
        <w:tab/>
        <w:tab/>
        <w:tab/>
        <w:tab/>
        <w:tab/>
        <w:t>LV:</w:t>
        <w:tab/>
        <w:t>Lehrervortrag</w:t>
      </w:r>
    </w:p>
    <w:p>
      <w:pPr>
        <w:pStyle w:val="Textkrper"/>
        <w:rPr/>
      </w:pPr>
      <w:r>
        <w:rPr/>
        <w:t>EA:</w:t>
        <w:tab/>
        <w:t>Einzelarbeit</w:t>
        <w:tab/>
        <w:tab/>
        <w:tab/>
        <w:tab/>
        <w:tab/>
        <w:t>P:</w:t>
        <w:tab/>
        <w:t>Präsentation</w:t>
      </w:r>
    </w:p>
    <w:p>
      <w:pPr>
        <w:pStyle w:val="Textkrper"/>
        <w:rPr/>
      </w:pPr>
      <w:r>
        <w:rPr/>
        <w:t xml:space="preserve">EXP: </w:t>
        <w:tab/>
        <w:t>Experiment/Praktikum</w:t>
        <w:tab/>
        <w:tab/>
        <w:tab/>
        <w:tab/>
        <w:t>PA:</w:t>
        <w:tab/>
        <w:t>Partnerarbeit</w:t>
      </w:r>
    </w:p>
    <w:p>
      <w:pPr>
        <w:pStyle w:val="Textkrper"/>
        <w:rPr/>
      </w:pPr>
      <w:r>
        <w:rPr/>
        <w:t>GA:</w:t>
        <w:tab/>
        <w:t>Gruppenarbeit</w:t>
        <w:tab/>
        <w:tab/>
        <w:tab/>
        <w:tab/>
        <w:tab/>
        <w:t xml:space="preserve">SuS: </w:t>
        <w:tab/>
        <w:t>Schülerinnen und Schüler</w:t>
      </w:r>
    </w:p>
    <w:p>
      <w:pPr>
        <w:pStyle w:val="Textkrper"/>
        <w:rPr/>
      </w:pPr>
      <w:r>
        <w:rPr/>
        <w:t>TA:</w:t>
        <w:tab/>
        <w:t>Tafel(anschrieb)</w:t>
        <w:tab/>
        <w:tab/>
        <w:tab/>
        <w:tab/>
        <w:t>LZ:</w:t>
        <w:tab/>
        <w:t>Lernzirkel/Stationenarbeit</w:t>
      </w:r>
    </w:p>
    <w:p>
      <w:pPr>
        <w:pStyle w:val="Textkrper"/>
        <w:rPr/>
      </w:pPr>
      <w:r>
        <w:rPr/>
        <w:t>UG:</w:t>
        <w:tab/>
        <w:t>Unterrichtsgespräch</w:t>
        <w:tab/>
        <w:tab/>
        <w:tab/>
        <w:tab/>
        <w:t>LSG:</w:t>
        <w:tab/>
        <w:t>Lehrer-Schüler-Gespräch</w:t>
      </w:r>
    </w:p>
    <w:p>
      <w:pPr>
        <w:pStyle w:val="Normal"/>
        <w:numPr>
          <w:ilvl w:val="0"/>
          <w:numId w:val="5"/>
        </w:numPr>
        <w:rPr/>
      </w:pPr>
      <w:r>
        <w:rPr/>
        <w:t>MAT:</w:t>
        <w:tab/>
        <w:t>Materialien/Infos für SuS</w:t>
      </w:r>
    </w:p>
    <w:sectPr>
      <w:footerReference w:type="default" r:id="rId8"/>
      <w:type w:val="nextPage"/>
      <w:pgSz w:w="11906" w:h="16838"/>
      <w:pgMar w:left="1134" w:right="1134" w:header="0" w:top="1134" w:footer="720" w:bottom="1134" w:gutter="0"/>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Symbol">
    <w:charset w:val="01"/>
    <w:family w:val="roman"/>
    <w:pitch w:val="variable"/>
  </w:font>
  <w:font w:name="OpenSymbol">
    <w:altName w:val="Arial Unicode MS"/>
    <w:charset w:val="01"/>
    <w:family w:val="roman"/>
    <w:pitch w:val="variable"/>
  </w:font>
  <w:font w:name="Calibri">
    <w:charset w:val="01"/>
    <w:family w:val="roman"/>
    <w:pitch w:val="variable"/>
  </w:font>
  <w:font w:name="Courier New">
    <w:charset w:val="01"/>
    <w:family w:val="roman"/>
    <w:pitch w:val="variable"/>
  </w:font>
  <w:font w:name="Wingdings">
    <w:charset w:val="01"/>
    <w:family w:val="roman"/>
    <w:pitch w:val="variable"/>
  </w:font>
  <w:font w:name="Times New Roman">
    <w:charset w:val="01"/>
    <w:family w:val="roman"/>
    <w:pitch w:val="variable"/>
  </w:font>
  <w:font w:name="Arial">
    <w:charset w:val="01"/>
    <w:family w:val="swiss"/>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1" w:color="000000"/>
      </w:pBdr>
      <w:tabs>
        <w:tab w:val="center" w:pos="4536" w:leader="none"/>
        <w:tab w:val="left" w:pos="8647" w:leader="none"/>
        <w:tab w:val="right" w:pos="9072" w:leader="none"/>
      </w:tabs>
      <w:rPr/>
    </w:pPr>
    <w:r>
      <w:rPr>
        <w:sz w:val="14"/>
        <w:szCs w:val="14"/>
      </w:rPr>
      <w:fldChar w:fldCharType="begin"/>
    </w:r>
    <w:r>
      <w:rPr>
        <w:sz w:val="14"/>
        <w:szCs w:val="14"/>
      </w:rPr>
      <w:instrText> FILENAME </w:instrText>
    </w:r>
    <w:r>
      <w:rPr>
        <w:sz w:val="14"/>
        <w:szCs w:val="14"/>
      </w:rPr>
      <w:fldChar w:fldCharType="separate"/>
    </w:r>
    <w:r>
      <w:rPr>
        <w:sz w:val="14"/>
        <w:szCs w:val="14"/>
      </w:rPr>
      <w:t>20300_dok_unterrichtsgang_wirkungsspektrum.docx</w:t>
    </w:r>
    <w:r>
      <w:rPr>
        <w:sz w:val="14"/>
        <w:szCs w:val="14"/>
      </w:rPr>
      <w:fldChar w:fldCharType="end"/>
    </w:r>
    <w:r>
      <w:rPr>
        <w:sz w:val="14"/>
        <w:szCs w:val="14"/>
      </w:rPr>
      <w:tab/>
      <w:t>ZPG Biologie 2020</w:t>
      <w:tab/>
      <w:t xml:space="preserve">Seite </w:t>
    </w:r>
    <w:r>
      <w:rPr>
        <w:sz w:val="14"/>
        <w:szCs w:val="14"/>
      </w:rPr>
      <w:fldChar w:fldCharType="begin"/>
    </w:r>
    <w:r>
      <w:rPr>
        <w:sz w:val="14"/>
        <w:szCs w:val="14"/>
      </w:rPr>
      <w:instrText> PAGE </w:instrText>
    </w:r>
    <w:r>
      <w:rPr>
        <w:sz w:val="14"/>
        <w:szCs w:val="14"/>
      </w:rPr>
      <w:fldChar w:fldCharType="separate"/>
    </w:r>
    <w:r>
      <w:rPr>
        <w:sz w:val="14"/>
        <w:szCs w:val="14"/>
      </w:rPr>
      <w:t>4</w:t>
    </w:r>
    <w:r>
      <w:rPr>
        <w:sz w:val="14"/>
        <w:szCs w:val="14"/>
      </w:rPr>
      <w:fldChar w:fldCharType="end"/>
    </w:r>
    <w:r>
      <w:rPr>
        <w:sz w:val="14"/>
        <w:szCs w:val="14"/>
      </w:rPr>
      <w:t xml:space="preserve"> von </w:t>
    </w:r>
    <w:r>
      <w:rPr>
        <w:sz w:val="14"/>
        <w:szCs w:val="14"/>
      </w:rPr>
      <w:fldChar w:fldCharType="begin"/>
    </w:r>
    <w:r>
      <w:rPr>
        <w:sz w:val="14"/>
        <w:szCs w:val="14"/>
      </w:rPr>
      <w:instrText> NUMPAGES </w:instrText>
    </w:r>
    <w:r>
      <w:rPr>
        <w:sz w:val="14"/>
        <w:szCs w:val="14"/>
      </w:rPr>
      <w:fldChar w:fldCharType="separate"/>
    </w:r>
    <w:r>
      <w:rPr>
        <w:sz w:val="14"/>
        <w:szCs w:val="14"/>
      </w:rPr>
      <w:t>5</w:t>
    </w:r>
    <w:r>
      <w:rPr>
        <w:sz w:val="14"/>
        <w:szCs w:val="14"/>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tabs>
          <w:tab w:val="num" w:pos="0"/>
        </w:tabs>
        <w:ind w:left="432" w:hanging="432"/>
      </w:pPr>
      <w:rPr>
        <w:szCs w:val="22"/>
      </w:rPr>
    </w:lvl>
    <w:lvl w:ilvl="1">
      <w:start w:val="1"/>
      <w:pStyle w:val="Berschrift2"/>
      <w:numFmt w:val="none"/>
      <w:suff w:val="nothing"/>
      <w:lvlText w:val=""/>
      <w:lvlJc w:val="left"/>
      <w:pPr>
        <w:tabs>
          <w:tab w:val="num" w:pos="0"/>
        </w:tabs>
        <w:ind w:left="576" w:hanging="576"/>
      </w:pPr>
    </w:lvl>
    <w:lvl w:ilvl="2">
      <w:start w:val="1"/>
      <w:pStyle w:val="Berschrift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432" w:hanging="432"/>
      </w:pPr>
      <w:rPr>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none"/>
      <w:suff w:val="nothing"/>
      <w:lvlText w:val=""/>
      <w:lvlJc w:val="left"/>
      <w:pPr>
        <w:tabs>
          <w:tab w:val="num" w:pos="0"/>
        </w:tabs>
        <w:ind w:left="432" w:hanging="432"/>
      </w:pPr>
      <w:rPr>
        <w:b w:val="false"/>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4">
    <w:lvl w:ilvl="0">
      <w:start w:val="1"/>
      <w:numFmt w:val="none"/>
      <w:suff w:val="nothing"/>
      <w:lvlText w:val=""/>
      <w:lvlJc w:val="left"/>
      <w:pPr>
        <w:tabs>
          <w:tab w:val="num" w:pos="0"/>
        </w:tabs>
        <w:ind w:left="432" w:hanging="432"/>
      </w:pPr>
      <w:rPr>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5">
    <w:lvl w:ilvl="0">
      <w:start w:val="1"/>
      <w:numFmt w:val="none"/>
      <w:suff w:val="nothing"/>
      <w:lvlText w:val=""/>
      <w:lvlJc w:val="left"/>
      <w:pPr>
        <w:tabs>
          <w:tab w:val="num" w:pos="0"/>
        </w:tabs>
        <w:ind w:left="432" w:hanging="432"/>
      </w:pPr>
      <w:rPr>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lvl w:ilvl="0">
      <w:start w:val="1"/>
      <w:numFmt w:val="none"/>
      <w:suff w:val="nothing"/>
      <w:lvlText w:val=""/>
      <w:lvlJc w:val="left"/>
      <w:pPr>
        <w:tabs>
          <w:tab w:val="num" w:pos="0"/>
        </w:tabs>
        <w:ind w:left="432" w:hanging="432"/>
      </w:pPr>
      <w:rPr>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50"/>
  <w:displayBackgroundShape/>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Arial" w:hAnsi="Arial" w:eastAsia="Times New Roman" w:cs="Calibri"/>
      <w:color w:val="auto"/>
      <w:kern w:val="0"/>
      <w:sz w:val="21"/>
      <w:szCs w:val="20"/>
      <w:lang w:val="de-DE" w:eastAsia="zh-CN" w:bidi="ar-SA"/>
    </w:rPr>
  </w:style>
  <w:style w:type="paragraph" w:styleId="Berschrift1">
    <w:name w:val="Heading 1"/>
    <w:basedOn w:val="Berschrift"/>
    <w:qFormat/>
    <w:pPr>
      <w:numPr>
        <w:ilvl w:val="0"/>
        <w:numId w:val="1"/>
      </w:numPr>
      <w:outlineLvl w:val="0"/>
    </w:pPr>
    <w:rPr>
      <w:b/>
      <w:sz w:val="28"/>
    </w:rPr>
  </w:style>
  <w:style w:type="paragraph" w:styleId="Berschrift2">
    <w:name w:val="Heading 2"/>
    <w:basedOn w:val="Berschrift"/>
    <w:qFormat/>
    <w:pPr>
      <w:numPr>
        <w:ilvl w:val="1"/>
        <w:numId w:val="1"/>
      </w:numPr>
      <w:spacing w:before="200" w:after="120"/>
      <w:ind w:left="0" w:right="0" w:hanging="0"/>
      <w:outlineLvl w:val="1"/>
    </w:pPr>
    <w:rPr>
      <w:b/>
      <w:sz w:val="24"/>
    </w:rPr>
  </w:style>
  <w:style w:type="paragraph" w:styleId="Berschrift3">
    <w:name w:val="Heading 3"/>
    <w:basedOn w:val="Berschrift"/>
    <w:qFormat/>
    <w:pPr>
      <w:numPr>
        <w:ilvl w:val="2"/>
        <w:numId w:val="1"/>
      </w:numPr>
      <w:spacing w:before="140" w:after="120"/>
      <w:ind w:left="0" w:right="0" w:hanging="0"/>
      <w:outlineLvl w:val="2"/>
    </w:pPr>
    <w:rPr/>
  </w:style>
  <w:style w:type="character" w:styleId="DefaultParagraphFont">
    <w:name w:val="Default Paragraph Font"/>
    <w:qFormat/>
    <w:rPr/>
  </w:style>
  <w:style w:type="character" w:styleId="WW8Num1z0">
    <w:name w:val="WW8Num1z0"/>
    <w:qFormat/>
    <w:rPr>
      <w:szCs w:val="2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Cs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WW8Num5z0">
    <w:name w:val="WW8Num5z0"/>
    <w:qFormat/>
    <w:rPr>
      <w:rFonts w:ascii="Symbol" w:hAnsi="Symbol" w:cs="OpenSymbol;Arial Unicode MS"/>
    </w:rPr>
  </w:style>
  <w:style w:type="character" w:styleId="WW8Num5z1">
    <w:name w:val="WW8Num5z1"/>
    <w:qFormat/>
    <w:rPr>
      <w:rFonts w:ascii="OpenSymbol;Arial Unicode MS" w:hAnsi="OpenSymbol;Arial Unicode MS" w:cs="OpenSymbol;Arial Unicode MS"/>
    </w:rPr>
  </w:style>
  <w:style w:type="character" w:styleId="WW8Num6z0">
    <w:name w:val="WW8Num6z0"/>
    <w:qFormat/>
    <w:rPr>
      <w:rFonts w:ascii="Symbol" w:hAnsi="Symbol" w:cs="OpenSymbol;Arial Unicode MS"/>
    </w:rPr>
  </w:style>
  <w:style w:type="character" w:styleId="WW8Num6z1">
    <w:name w:val="WW8Num6z1"/>
    <w:qFormat/>
    <w:rPr>
      <w:rFonts w:ascii="OpenSymbol;Arial Unicode MS" w:hAnsi="OpenSymbol;Arial Unicode MS" w:cs="OpenSymbol;Arial Unicode MS"/>
    </w:rPr>
  </w:style>
  <w:style w:type="character" w:styleId="WW8Num7z0">
    <w:name w:val="WW8Num7z0"/>
    <w:qFormat/>
    <w:rPr>
      <w:rFonts w:ascii="Symbol" w:hAnsi="Symbol" w:cs="OpenSymbol;Arial Unicode MS"/>
    </w:rPr>
  </w:style>
  <w:style w:type="character" w:styleId="WW8Num7z1">
    <w:name w:val="WW8Num7z1"/>
    <w:qFormat/>
    <w:rPr>
      <w:rFonts w:ascii="OpenSymbol;Arial Unicode MS" w:hAnsi="OpenSymbol;Arial Unicode MS" w:cs="OpenSymbol;Arial Unicode MS"/>
    </w:rPr>
  </w:style>
  <w:style w:type="character" w:styleId="WW8Num8z0">
    <w:name w:val="WW8Num8z0"/>
    <w:qFormat/>
    <w:rPr>
      <w:rFonts w:ascii="Symbol" w:hAnsi="Symbol" w:cs="OpenSymbol;Arial Unicode MS"/>
    </w:rPr>
  </w:style>
  <w:style w:type="character" w:styleId="WW8Num8z1">
    <w:name w:val="WW8Num8z1"/>
    <w:qFormat/>
    <w:rPr>
      <w:rFonts w:ascii="OpenSymbol;Arial Unicode MS" w:hAnsi="OpenSymbol;Arial Unicode MS" w:cs="OpenSymbol;Arial Unicode MS"/>
    </w:rPr>
  </w:style>
  <w:style w:type="character" w:styleId="WW8Num9z0">
    <w:name w:val="WW8Num9z0"/>
    <w:qFormat/>
    <w:rPr>
      <w:rFonts w:ascii="Symbol" w:hAnsi="Symbol" w:cs="OpenSymbol;Arial Unicode MS"/>
    </w:rPr>
  </w:style>
  <w:style w:type="character" w:styleId="WW8Num9z1">
    <w:name w:val="WW8Num9z1"/>
    <w:qFormat/>
    <w:rPr>
      <w:rFonts w:ascii="OpenSymbol;Arial Unicode MS" w:hAnsi="OpenSymbol;Arial Unicode MS" w:cs="OpenSymbol;Arial Unicode MS"/>
    </w:rPr>
  </w:style>
  <w:style w:type="character" w:styleId="WW8Num10z0">
    <w:name w:val="WW8Num10z0"/>
    <w:qFormat/>
    <w:rPr>
      <w:rFonts w:ascii="Symbol" w:hAnsi="Symbol" w:cs="OpenSymbol;Arial Unicode MS"/>
    </w:rPr>
  </w:style>
  <w:style w:type="character" w:styleId="WW8Num10z1">
    <w:name w:val="WW8Num10z1"/>
    <w:qFormat/>
    <w:rPr>
      <w:rFonts w:ascii="OpenSymbol;Arial Unicode MS" w:hAnsi="OpenSymbol;Arial Unicode MS" w:cs="OpenSymbol;Arial Unicode MS"/>
    </w:rPr>
  </w:style>
  <w:style w:type="character" w:styleId="WW8Num11z0">
    <w:name w:val="WW8Num11z0"/>
    <w:qFormat/>
    <w:rPr>
      <w:rFonts w:ascii="Symbol" w:hAnsi="Symbol" w:cs="OpenSymbol;Arial Unicode MS"/>
    </w:rPr>
  </w:style>
  <w:style w:type="character" w:styleId="WW8Num11z1">
    <w:name w:val="WW8Num11z1"/>
    <w:qFormat/>
    <w:rPr>
      <w:rFonts w:ascii="OpenSymbol;Arial Unicode MS" w:hAnsi="OpenSymbol;Arial Unicode MS" w:cs="OpenSymbol;Arial Unicode MS"/>
    </w:rPr>
  </w:style>
  <w:style w:type="character" w:styleId="WW8Num12z0">
    <w:name w:val="WW8Num12z0"/>
    <w:qFormat/>
    <w:rPr>
      <w:rFonts w:ascii="Symbol" w:hAnsi="Symbol" w:cs="OpenSymbol;Arial Unicode MS"/>
    </w:rPr>
  </w:style>
  <w:style w:type="character" w:styleId="WW8Num12z1">
    <w:name w:val="WW8Num12z1"/>
    <w:qFormat/>
    <w:rPr>
      <w:rFonts w:ascii="OpenSymbol;Arial Unicode MS" w:hAnsi="OpenSymbol;Arial Unicode MS" w:cs="OpenSymbol;Arial Unicode MS"/>
    </w:rPr>
  </w:style>
  <w:style w:type="character" w:styleId="WW8Num13z0">
    <w:name w:val="WW8Num13z0"/>
    <w:qFormat/>
    <w:rPr>
      <w:rFonts w:ascii="Symbol" w:hAnsi="Symbol" w:cs="OpenSymbol;Arial Unicode MS"/>
    </w:rPr>
  </w:style>
  <w:style w:type="character" w:styleId="WW8Num13z1">
    <w:name w:val="WW8Num13z1"/>
    <w:qFormat/>
    <w:rPr>
      <w:rFonts w:ascii="OpenSymbol;Arial Unicode MS" w:hAnsi="OpenSymbol;Arial Unicode MS" w:cs="OpenSymbol;Arial Unicode MS"/>
    </w:rPr>
  </w:style>
  <w:style w:type="character" w:styleId="WW8Num14z0">
    <w:name w:val="WW8Num14z0"/>
    <w:qFormat/>
    <w:rPr>
      <w:rFonts w:ascii="Symbol" w:hAnsi="Symbol" w:cs="OpenSymbol;Arial Unicode MS"/>
    </w:rPr>
  </w:style>
  <w:style w:type="character" w:styleId="WW8Num14z1">
    <w:name w:val="WW8Num14z1"/>
    <w:qFormat/>
    <w:rPr>
      <w:rFonts w:ascii="OpenSymbol;Arial Unicode MS" w:hAnsi="OpenSymbol;Arial Unicode MS" w:cs="OpenSymbol;Arial Unicode MS"/>
    </w:rPr>
  </w:style>
  <w:style w:type="character" w:styleId="WW8Num15z0">
    <w:name w:val="WW8Num15z0"/>
    <w:qFormat/>
    <w:rPr>
      <w:rFonts w:ascii="Symbol" w:hAnsi="Symbol" w:cs="OpenSymbol;Arial Unicode MS"/>
    </w:rPr>
  </w:style>
  <w:style w:type="character" w:styleId="WW8Num15z1">
    <w:name w:val="WW8Num15z1"/>
    <w:qFormat/>
    <w:rPr>
      <w:rFonts w:ascii="OpenSymbol;Arial Unicode MS" w:hAnsi="OpenSymbol;Arial Unicode MS" w:cs="OpenSymbol;Arial Unicode MS"/>
    </w:rPr>
  </w:style>
  <w:style w:type="character" w:styleId="WW8Num16z0">
    <w:name w:val="WW8Num16z0"/>
    <w:qFormat/>
    <w:rPr>
      <w:rFonts w:ascii="Symbol" w:hAnsi="Symbol" w:cs="OpenSymbol;Arial Unicode MS"/>
    </w:rPr>
  </w:style>
  <w:style w:type="character" w:styleId="WW8Num16z1">
    <w:name w:val="WW8Num16z1"/>
    <w:qFormat/>
    <w:rPr>
      <w:rFonts w:ascii="OpenSymbol;Arial Unicode MS" w:hAnsi="OpenSymbol;Arial Unicode MS" w:cs="OpenSymbol;Arial Unicode MS"/>
    </w:rPr>
  </w:style>
  <w:style w:type="character" w:styleId="WW8Num17z0">
    <w:name w:val="WW8Num17z0"/>
    <w:qFormat/>
    <w:rPr>
      <w:rFonts w:ascii="Calibri" w:hAnsi="Calibri" w:eastAsia="Times New Roman"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Calibri" w:hAnsi="Calibri" w:eastAsia="Times New Roman" w:cs="Times New Roman"/>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rFonts w:ascii="Symbol" w:hAnsi="Symbol" w:cs="Symbol"/>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rFonts w:ascii="Symbol" w:hAnsi="Symbol" w:cs="Symbol"/>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Absatzstandardschriftart">
    <w:name w:val="Absatzstandardschriftart"/>
    <w:qFormat/>
    <w:rPr/>
  </w:style>
  <w:style w:type="character" w:styleId="Aufzhlungszeichen1">
    <w:name w:val="Aufzählungszeichen1"/>
    <w:qFormat/>
    <w:rPr/>
  </w:style>
  <w:style w:type="character" w:styleId="Nummerierungszeichen">
    <w:name w:val="Nummerierungszeichen"/>
    <w:qFormat/>
    <w:rPr/>
  </w:style>
  <w:style w:type="character" w:styleId="KopfzeileZeichen">
    <w:name w:val="Kopfzeile Zeichen"/>
    <w:basedOn w:val="Absatzstandardschriftart"/>
    <w:qFormat/>
    <w:rPr/>
  </w:style>
  <w:style w:type="character" w:styleId="FuzeileZeichen">
    <w:name w:val="Fußzeile Zeichen"/>
    <w:basedOn w:val="Absatzstandardschriftart"/>
    <w:qFormat/>
    <w:rPr/>
  </w:style>
  <w:style w:type="character" w:styleId="TextkrperZeichen">
    <w:name w:val="Textkörper Zeichen"/>
    <w:qFormat/>
    <w:rPr>
      <w:rFonts w:ascii="Calibri" w:hAnsi="Calibri" w:cs="Calibri"/>
      <w:sz w:val="22"/>
    </w:rPr>
  </w:style>
  <w:style w:type="character" w:styleId="Aufzhlungszeichen2">
    <w:name w:val="Aufzählungszeichen2"/>
    <w:qFormat/>
    <w:rPr>
      <w:rFonts w:ascii="OpenSymbol" w:hAnsi="OpenSymbol" w:eastAsia="OpenSymbol" w:cs="OpenSymbol"/>
    </w:rPr>
  </w:style>
  <w:style w:type="character" w:styleId="FootnoteCharacters">
    <w:name w:val="Footnote Characters"/>
    <w:qFormat/>
    <w:rPr/>
  </w:style>
  <w:style w:type="character" w:styleId="Funotenanker">
    <w:name w:val="Fußnotenanker"/>
    <w:rPr>
      <w:vertAlign w:val="superscript"/>
    </w:rPr>
  </w:style>
  <w:style w:type="character" w:styleId="Endnotenanker">
    <w:name w:val="Endnotenanker"/>
    <w:rPr>
      <w:vertAlign w:val="superscript"/>
    </w:rPr>
  </w:style>
  <w:style w:type="character" w:styleId="EndnoteCharacters">
    <w:name w:val="Endnote Characters"/>
    <w:qFormat/>
    <w:rPr/>
  </w:style>
  <w:style w:type="character" w:styleId="Internetverknpfung">
    <w:name w:val="Internetverknüpfung"/>
    <w:rPr>
      <w:color w:val="000080"/>
      <w:u w:val="single"/>
      <w:lang w:val="zxx" w:eastAsia="zxx" w:bidi="zxx"/>
    </w:rPr>
  </w:style>
  <w:style w:type="character" w:styleId="Funotenzeichen">
    <w:name w:val="Fußnotenzeichen"/>
    <w:qFormat/>
    <w:rPr/>
  </w:style>
  <w:style w:type="character" w:styleId="Endnotenzeichen">
    <w:name w:val="Endnotenzeichen"/>
    <w:qFormat/>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style>
  <w:style w:type="paragraph" w:styleId="Textkrper">
    <w:name w:val="Body Text"/>
    <w:basedOn w:val="Normal"/>
    <w:pPr>
      <w:spacing w:lineRule="auto" w:line="276" w:before="0" w:after="140"/>
    </w:pPr>
    <w:rPr/>
  </w:style>
  <w:style w:type="paragraph" w:styleId="Liste">
    <w:name w:val="List"/>
    <w:basedOn w:val="Textkrper"/>
    <w:pPr/>
    <w:rPr>
      <w:rFonts w:cs="FreeSans"/>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Beschriftung1">
    <w:name w:val="Beschriftung1"/>
    <w:basedOn w:val="Normal"/>
    <w:qFormat/>
    <w:pPr>
      <w:suppressLineNumbers/>
      <w:spacing w:before="120" w:after="120"/>
    </w:pPr>
    <w:rPr/>
  </w:style>
  <w:style w:type="paragraph" w:styleId="TabellenInhalt">
    <w:name w:val="Tabellen Inhalt"/>
    <w:basedOn w:val="Normal"/>
    <w:qFormat/>
    <w:pPr>
      <w:suppressLineNumbers/>
    </w:pPr>
    <w:rPr/>
  </w:style>
  <w:style w:type="paragraph" w:styleId="Tabellenberschrift">
    <w:name w:val="Tabellen Überschrift"/>
    <w:basedOn w:val="TabellenInhalt"/>
    <w:qFormat/>
    <w:pPr>
      <w:jc w:val="center"/>
    </w:pPr>
    <w:rPr>
      <w:b/>
      <w:bCs/>
    </w:rPr>
  </w:style>
  <w:style w:type="paragraph" w:styleId="KopfundFuzeile">
    <w:name w:val="Kopf- und Fußzeile"/>
    <w:basedOn w:val="Normal"/>
    <w:qFormat/>
    <w:pPr/>
    <w:rPr/>
  </w:style>
  <w:style w:type="paragraph" w:styleId="Kopfzeile">
    <w:name w:val="Header"/>
    <w:basedOn w:val="Normal"/>
    <w:pPr>
      <w:tabs>
        <w:tab w:val="clear" w:pos="709"/>
        <w:tab w:val="center" w:pos="4536" w:leader="none"/>
        <w:tab w:val="right" w:pos="9072" w:leader="none"/>
      </w:tabs>
    </w:pPr>
    <w:rPr/>
  </w:style>
  <w:style w:type="paragraph" w:styleId="Fuzeile">
    <w:name w:val="Footer"/>
    <w:basedOn w:val="Normal"/>
    <w:pPr>
      <w:tabs>
        <w:tab w:val="clear" w:pos="709"/>
        <w:tab w:val="center" w:pos="4536" w:leader="none"/>
        <w:tab w:val="right" w:pos="9072" w:leader="none"/>
      </w:tabs>
    </w:pPr>
    <w:rPr/>
  </w:style>
  <w:style w:type="paragraph" w:styleId="NormalWeb">
    <w:name w:val="Normal (Web)"/>
    <w:basedOn w:val="Normal"/>
    <w:qFormat/>
    <w:pPr>
      <w:suppressAutoHyphens w:val="false"/>
      <w:spacing w:lineRule="auto" w:line="288" w:before="100" w:after="142"/>
    </w:pPr>
    <w:rPr>
      <w:rFonts w:ascii="Times New Roman" w:hAnsi="Times New Roman" w:cs="Times New Roman"/>
      <w:sz w:val="20"/>
    </w:rPr>
  </w:style>
  <w:style w:type="paragraph" w:styleId="Tabelleninhalt1">
    <w:name w:val="Tabelleninhalt"/>
    <w:basedOn w:val="Normal"/>
    <w:qFormat/>
    <w:pPr>
      <w:suppressLineNumbers/>
    </w:pPr>
    <w:rPr/>
  </w:style>
  <w:style w:type="paragraph" w:styleId="Tabellenberschrift1">
    <w:name w:val="Tabellenüberschrift"/>
    <w:basedOn w:val="Tabelleninhalt1"/>
    <w:qFormat/>
    <w:pPr>
      <w:jc w:val="center"/>
    </w:pPr>
    <w:rPr>
      <w:b/>
      <w:bCs/>
    </w:rPr>
  </w:style>
  <w:style w:type="paragraph" w:styleId="Funote">
    <w:name w:val="Footnote Text"/>
    <w:basedOn w:val="Normal"/>
    <w:pPr>
      <w:suppressLineNumbers/>
      <w:spacing w:before="0" w:after="113"/>
      <w:ind w:left="339" w:right="0" w:hanging="339"/>
    </w:pPr>
    <w:rPr>
      <w:sz w:val="20"/>
    </w:rPr>
  </w:style>
  <w:style w:type="numbering" w:styleId="NoList">
    <w:name w:val="No List"/>
    <w:qFormat/>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commons.wikimedia.org/wiki/File:Chlorophyll_ab_spectra2.PNG" TargetMode="External"/><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797</TotalTime>
  <Application>LibreOffice/6.4.7.2$Linux_X86_64 LibreOffice_project/40$Build-2</Application>
  <Pages>5</Pages>
  <Words>1319</Words>
  <Characters>9529</Characters>
  <CharactersWithSpaces>10797</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2020-07-23T17:47:00Z</dcterms:created>
  <dc:creator>Hunor Karsa</dc:creator>
  <dc:description/>
  <dc:language>de-DE</dc:language>
  <cp:lastModifiedBy/>
  <dcterms:modified xsi:type="dcterms:W3CDTF">2021-04-26T15:57:58Z</dcterms:modified>
  <cp:revision>151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