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media/image2.png" ContentType="image/png"/>
  <Override PartName="/word/media/image1.png" ContentType="image/png"/>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erschrift1"/>
        <w:numPr>
          <w:ilvl w:val="0"/>
          <w:numId w:val="2"/>
        </w:numPr>
        <w:spacing w:before="240" w:after="120"/>
        <w:rPr/>
      </w:pPr>
      <w:r>
        <w:rPr/>
        <w:t>Der Engelmannsche Bakterienversuch</w:t>
      </w:r>
    </w:p>
    <w:p>
      <w:pPr>
        <w:pStyle w:val="Berschrift2"/>
        <w:numPr>
          <w:ilvl w:val="1"/>
          <w:numId w:val="2"/>
        </w:numPr>
        <w:rPr/>
      </w:pPr>
      <w:r>
        <w:rPr/>
        <w:t>Grundlagen:</w:t>
        <w:br/>
        <w:t>Farbspektrum und Absorptionsspektrum des Chlorophylls</w:t>
      </w:r>
    </w:p>
    <w:p>
      <w:pPr>
        <w:pStyle w:val="Berschrift"/>
        <w:rPr>
          <w:b/>
          <w:b/>
          <w:bCs/>
          <w:i/>
          <w:i/>
          <w:iCs/>
          <w:sz w:val="24"/>
          <w:szCs w:val="24"/>
        </w:rPr>
      </w:pPr>
      <w:r>
        <w:rPr>
          <w:b/>
          <w:bCs/>
          <w:i/>
          <w:iCs/>
          <w:sz w:val="24"/>
          <w:szCs w:val="24"/>
        </w:rPr>
        <w:t>Aufgaben:</w:t>
      </w:r>
    </w:p>
    <w:p>
      <w:pPr>
        <w:pStyle w:val="Textkrper"/>
        <w:numPr>
          <w:ilvl w:val="0"/>
          <w:numId w:val="4"/>
        </w:numPr>
        <w:rPr/>
      </w:pPr>
      <w:r>
        <w:rPr/>
        <w:t>Erstellen Sie auf der Grundlage des Versuchs zur Lichtabsorption durch gelöstes Chlorophyll Definitionen für die Begriffe Farbspektrum und Absorptionsspektrum, indem Sie die falschen Satzbausteine durchstreichen. Ergänzen Sie dann die nötigen Satzzeichen und passen Sie die Groß-/Kleinschreibung ggf. an.</w:t>
      </w:r>
    </w:p>
    <w:p>
      <w:pPr>
        <w:pStyle w:val="Textkrper"/>
        <w:numPr>
          <w:ilvl w:val="0"/>
          <w:numId w:val="4"/>
        </w:numPr>
        <w:rPr/>
      </w:pPr>
      <w:r>
        <w:rPr/>
        <w:t>Erklären Sie auf der Grundlage des Absorptionsspektrums des Chlorophylls, weshalb wir Pflanzen als grün wahrnehmen.</w:t>
      </w:r>
    </w:p>
    <w:tbl>
      <w:tblPr>
        <w:tblW w:w="9972" w:type="dxa"/>
        <w:jc w:val="left"/>
        <w:tblInd w:w="0" w:type="dxa"/>
        <w:tblBorders>
          <w:top w:val="single" w:sz="2" w:space="0" w:color="000000"/>
          <w:left w:val="single" w:sz="2" w:space="0" w:color="000000"/>
          <w:bottom w:val="single" w:sz="2" w:space="0" w:color="000000"/>
          <w:insideH w:val="single" w:sz="2" w:space="0" w:color="000000"/>
        </w:tblBorders>
        <w:tblCellMar>
          <w:top w:w="55" w:type="dxa"/>
          <w:left w:w="53" w:type="dxa"/>
          <w:bottom w:w="55" w:type="dxa"/>
          <w:right w:w="55" w:type="dxa"/>
        </w:tblCellMar>
      </w:tblPr>
      <w:tblGrid>
        <w:gridCol w:w="2493"/>
        <w:gridCol w:w="2493"/>
        <w:gridCol w:w="2493"/>
        <w:gridCol w:w="2492"/>
      </w:tblGrid>
      <w:tr>
        <w:trPr/>
        <w:tc>
          <w:tcPr>
            <w:tcW w:w="2493" w:type="dxa"/>
            <w:vMerge w:val="restart"/>
            <w:tcBorders>
              <w:top w:val="single" w:sz="2" w:space="0" w:color="000000"/>
              <w:left w:val="single" w:sz="2" w:space="0" w:color="000000"/>
              <w:bottom w:val="single" w:sz="2" w:space="0" w:color="000000"/>
              <w:insideH w:val="single" w:sz="2" w:space="0" w:color="000000"/>
            </w:tcBorders>
            <w:shd w:fill="auto" w:val="clear"/>
          </w:tcPr>
          <w:p>
            <w:pPr>
              <w:pStyle w:val="Textkrper"/>
              <w:spacing w:before="0" w:after="140"/>
              <w:rPr>
                <w:rFonts w:ascii="Liberation Sans" w:hAnsi="Liberation Sans" w:eastAsia="Noto Sans CJK SC" w:cs="Lohit Devanagari"/>
                <w:sz w:val="21"/>
                <w:szCs w:val="21"/>
              </w:rPr>
            </w:pPr>
            <w:r>
              <w:rPr>
                <w:rFonts w:eastAsia="Noto Sans CJK SC" w:cs="Lohit Devanagari" w:ascii="Liberation Sans" w:hAnsi="Liberation Sans"/>
                <w:b/>
                <w:bCs/>
                <w:i/>
                <w:iCs/>
                <w:sz w:val="21"/>
                <w:szCs w:val="21"/>
              </w:rPr>
              <w:t>Farbspektrum:</w:t>
            </w:r>
          </w:p>
        </w:tc>
        <w:tc>
          <w:tcPr>
            <w:tcW w:w="2493" w:type="dxa"/>
            <w:tcBorders>
              <w:top w:val="single" w:sz="2" w:space="0" w:color="000000"/>
              <w:left w:val="single" w:sz="2" w:space="0" w:color="000000"/>
              <w:bottom w:val="single" w:sz="2" w:space="0" w:color="000000"/>
              <w:insideH w:val="single" w:sz="2" w:space="0" w:color="000000"/>
            </w:tcBorders>
            <w:shd w:fill="auto" w:val="clear"/>
          </w:tcPr>
          <w:p>
            <w:pPr>
              <w:pStyle w:val="Textkrper"/>
              <w:spacing w:before="0" w:after="140"/>
              <w:rPr>
                <w:rFonts w:ascii="Liberation Sans" w:hAnsi="Liberation Sans" w:eastAsia="Noto Sans CJK SC" w:cs="Lohit Devanagari"/>
                <w:sz w:val="21"/>
                <w:szCs w:val="21"/>
              </w:rPr>
            </w:pPr>
            <w:r>
              <w:rPr>
                <w:rFonts w:eastAsia="Noto Sans CJK SC" w:cs="Lohit Devanagari" w:ascii="Liberation Sans" w:hAnsi="Liberation Sans"/>
                <w:sz w:val="21"/>
                <w:szCs w:val="21"/>
              </w:rPr>
              <w:t>Photonen bestimmter Wellenlängen werden absorbiert, wenn Licht durch Materie dringt</w:t>
            </w:r>
          </w:p>
        </w:tc>
        <w:tc>
          <w:tcPr>
            <w:tcW w:w="2493" w:type="dxa"/>
            <w:tcBorders>
              <w:top w:val="single" w:sz="2" w:space="0" w:color="000000"/>
              <w:left w:val="single" w:sz="2" w:space="0" w:color="000000"/>
              <w:bottom w:val="single" w:sz="2" w:space="0" w:color="000000"/>
              <w:insideH w:val="single" w:sz="2" w:space="0" w:color="000000"/>
            </w:tcBorders>
            <w:shd w:fill="auto" w:val="clear"/>
          </w:tcPr>
          <w:p>
            <w:pPr>
              <w:pStyle w:val="Textkrper"/>
              <w:spacing w:before="0" w:after="140"/>
              <w:rPr>
                <w:rFonts w:ascii="Liberation Sans" w:hAnsi="Liberation Sans" w:eastAsia="Noto Sans CJK SC" w:cs="Lohit Devanagari"/>
                <w:sz w:val="21"/>
                <w:szCs w:val="21"/>
              </w:rPr>
            </w:pPr>
            <w:r>
              <w:rPr>
                <w:rFonts w:eastAsia="Noto Sans CJK SC" w:cs="Lohit Devanagari" w:ascii="Liberation Sans" w:hAnsi="Liberation Sans"/>
                <w:sz w:val="21"/>
                <w:szCs w:val="21"/>
              </w:rPr>
              <w:t>es kann durch Brechung eines weißen Lichtstrahls an Prisma sichtbar gemacht werden</w:t>
            </w:r>
          </w:p>
        </w:tc>
        <w:tc>
          <w:tcPr>
            <w:tcW w:w="2492"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extkrper"/>
              <w:spacing w:before="0" w:after="140"/>
              <w:rPr>
                <w:rFonts w:ascii="Liberation Sans" w:hAnsi="Liberation Sans" w:eastAsia="Noto Sans CJK SC" w:cs="Lohit Devanagari"/>
                <w:sz w:val="21"/>
                <w:szCs w:val="21"/>
              </w:rPr>
            </w:pPr>
            <w:r>
              <w:rPr>
                <w:rFonts w:eastAsia="Noto Sans CJK SC" w:cs="Lohit Devanagari" w:ascii="Liberation Sans" w:hAnsi="Liberation Sans"/>
                <w:sz w:val="21"/>
                <w:szCs w:val="21"/>
              </w:rPr>
              <w:t>der Lichtstrahl wird Bereiche gleicher Wellenlängen aufgespalten und erscheint als Abfolge einfarbiger Banden</w:t>
            </w:r>
          </w:p>
        </w:tc>
      </w:tr>
      <w:tr>
        <w:trPr/>
        <w:tc>
          <w:tcPr>
            <w:tcW w:w="2493" w:type="dxa"/>
            <w:vMerge w:val="continue"/>
            <w:tcBorders>
              <w:top w:val="single" w:sz="2" w:space="0" w:color="000000"/>
              <w:left w:val="single" w:sz="2" w:space="0" w:color="000000"/>
              <w:bottom w:val="single" w:sz="2" w:space="0" w:color="000000"/>
              <w:insideH w:val="single" w:sz="2" w:space="0" w:color="000000"/>
            </w:tcBorders>
            <w:shd w:fill="auto" w:val="clear"/>
          </w:tcPr>
          <w:p>
            <w:pPr>
              <w:pStyle w:val="Tabelleninhalt"/>
              <w:rPr>
                <w:rFonts w:ascii="Liberation Sans" w:hAnsi="Liberation Sans" w:eastAsia="Noto Sans CJK SC" w:cs="Lohit Devanagari"/>
                <w:sz w:val="21"/>
                <w:szCs w:val="21"/>
              </w:rPr>
            </w:pPr>
            <w:r>
              <w:rPr>
                <w:rFonts w:eastAsia="Noto Sans CJK SC" w:cs="Lohit Devanagari" w:ascii="Liberation Sans" w:hAnsi="Liberation Sans"/>
                <w:sz w:val="21"/>
                <w:szCs w:val="21"/>
              </w:rPr>
            </w:r>
          </w:p>
        </w:tc>
        <w:tc>
          <w:tcPr>
            <w:tcW w:w="2493" w:type="dxa"/>
            <w:tcBorders>
              <w:top w:val="single" w:sz="2" w:space="0" w:color="000000"/>
              <w:left w:val="single" w:sz="2" w:space="0" w:color="000000"/>
              <w:bottom w:val="single" w:sz="2" w:space="0" w:color="000000"/>
              <w:insideH w:val="single" w:sz="2" w:space="0" w:color="000000"/>
            </w:tcBorders>
            <w:shd w:fill="auto" w:val="clear"/>
          </w:tcPr>
          <w:p>
            <w:pPr>
              <w:pStyle w:val="Textkrper"/>
              <w:spacing w:before="0" w:after="140"/>
              <w:rPr>
                <w:rFonts w:ascii="Liberation Sans" w:hAnsi="Liberation Sans" w:eastAsia="Noto Sans CJK SC" w:cs="Lohit Devanagari"/>
                <w:sz w:val="21"/>
                <w:szCs w:val="21"/>
              </w:rPr>
            </w:pPr>
            <w:r>
              <w:rPr>
                <w:rFonts w:eastAsia="Noto Sans CJK SC" w:cs="Lohit Devanagari" w:ascii="Liberation Sans" w:hAnsi="Liberation Sans"/>
                <w:sz w:val="21"/>
                <w:szCs w:val="21"/>
              </w:rPr>
              <w:t xml:space="preserve">der für den Menschen sichtbare Anteil des elektromagnetischen Spektrums </w:t>
            </w:r>
          </w:p>
        </w:tc>
        <w:tc>
          <w:tcPr>
            <w:tcW w:w="2493" w:type="dxa"/>
            <w:tcBorders>
              <w:top w:val="single" w:sz="2" w:space="0" w:color="000000"/>
              <w:left w:val="single" w:sz="2" w:space="0" w:color="000000"/>
              <w:bottom w:val="single" w:sz="2" w:space="0" w:color="000000"/>
              <w:insideH w:val="single" w:sz="2" w:space="0" w:color="000000"/>
            </w:tcBorders>
            <w:shd w:fill="auto" w:val="clear"/>
          </w:tcPr>
          <w:p>
            <w:pPr>
              <w:pStyle w:val="Textkrper"/>
              <w:spacing w:before="0" w:after="140"/>
              <w:rPr>
                <w:rFonts w:ascii="Liberation Sans" w:hAnsi="Liberation Sans" w:eastAsia="Noto Sans CJK SC" w:cs="Lohit Devanagari"/>
                <w:sz w:val="21"/>
                <w:szCs w:val="21"/>
              </w:rPr>
            </w:pPr>
            <w:r>
              <w:rPr>
                <w:rFonts w:eastAsia="Noto Sans CJK SC" w:cs="Lohit Devanagari" w:ascii="Liberation Sans" w:hAnsi="Liberation Sans"/>
                <w:sz w:val="21"/>
                <w:szCs w:val="21"/>
              </w:rPr>
              <w:t>Licht dieser Wellenlängen fehlt im Farbspektrum, die entsprechenden Banden erscheinen dann dunkel</w:t>
            </w:r>
          </w:p>
        </w:tc>
        <w:tc>
          <w:tcPr>
            <w:tcW w:w="2492"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extkrper"/>
              <w:spacing w:before="0" w:after="140"/>
              <w:rPr>
                <w:rFonts w:ascii="Liberation Sans" w:hAnsi="Liberation Sans" w:eastAsia="Noto Sans CJK SC" w:cs="Lohit Devanagari"/>
                <w:sz w:val="21"/>
                <w:szCs w:val="21"/>
              </w:rPr>
            </w:pPr>
            <w:r>
              <w:rPr>
                <w:rFonts w:eastAsia="Noto Sans CJK SC" w:cs="Lohit Devanagari" w:ascii="Liberation Sans" w:hAnsi="Liberation Sans"/>
                <w:sz w:val="21"/>
                <w:szCs w:val="21"/>
              </w:rPr>
              <w:t xml:space="preserve">im </w:t>
            </w:r>
            <w:r>
              <w:rPr>
                <w:rFonts w:eastAsia="Noto Sans CJK SC" w:cs="Lohit Devanagari" w:ascii="Liberation Sans" w:hAnsi="Liberation Sans"/>
                <w:b w:val="false"/>
                <w:bCs w:val="false"/>
                <w:i w:val="false"/>
                <w:iCs w:val="false"/>
                <w:sz w:val="21"/>
                <w:szCs w:val="21"/>
              </w:rPr>
              <w:t>Absorptionsspektrum</w:t>
            </w:r>
            <w:r>
              <w:rPr>
                <w:rFonts w:eastAsia="Noto Sans CJK SC" w:cs="Lohit Devanagari" w:ascii="Liberation Sans" w:hAnsi="Liberation Sans"/>
                <w:sz w:val="21"/>
                <w:szCs w:val="21"/>
              </w:rPr>
              <w:t xml:space="preserve"> des Chlorohylls sind bestimmte Wellenlängenbereiche (rot und blau) nicht mehr zu sehen</w:t>
            </w:r>
          </w:p>
        </w:tc>
      </w:tr>
    </w:tbl>
    <w:p>
      <w:pPr>
        <w:pStyle w:val="Normal"/>
        <w:rPr/>
      </w:pPr>
      <w:r>
        <w:rPr/>
      </w:r>
    </w:p>
    <w:tbl>
      <w:tblPr>
        <w:tblW w:w="9972" w:type="dxa"/>
        <w:jc w:val="left"/>
        <w:tblInd w:w="0" w:type="dxa"/>
        <w:tblBorders>
          <w:top w:val="single" w:sz="2" w:space="0" w:color="000000"/>
          <w:left w:val="single" w:sz="2" w:space="0" w:color="000000"/>
          <w:bottom w:val="single" w:sz="2" w:space="0" w:color="000000"/>
          <w:insideH w:val="single" w:sz="2" w:space="0" w:color="000000"/>
        </w:tblBorders>
        <w:tblCellMar>
          <w:top w:w="55" w:type="dxa"/>
          <w:left w:w="53" w:type="dxa"/>
          <w:bottom w:w="55" w:type="dxa"/>
          <w:right w:w="55" w:type="dxa"/>
        </w:tblCellMar>
      </w:tblPr>
      <w:tblGrid>
        <w:gridCol w:w="2493"/>
        <w:gridCol w:w="2493"/>
        <w:gridCol w:w="2493"/>
        <w:gridCol w:w="2492"/>
      </w:tblGrid>
      <w:tr>
        <w:trPr/>
        <w:tc>
          <w:tcPr>
            <w:tcW w:w="2493" w:type="dxa"/>
            <w:vMerge w:val="restart"/>
            <w:tcBorders>
              <w:top w:val="single" w:sz="2" w:space="0" w:color="000000"/>
              <w:left w:val="single" w:sz="2" w:space="0" w:color="000000"/>
              <w:bottom w:val="single" w:sz="2" w:space="0" w:color="000000"/>
              <w:insideH w:val="single" w:sz="2" w:space="0" w:color="000000"/>
            </w:tcBorders>
            <w:shd w:fill="auto" w:val="clear"/>
          </w:tcPr>
          <w:p>
            <w:pPr>
              <w:pStyle w:val="Textkrper"/>
              <w:spacing w:before="0" w:after="140"/>
              <w:rPr>
                <w:rFonts w:ascii="Liberation Sans" w:hAnsi="Liberation Sans" w:eastAsia="Noto Sans CJK SC" w:cs="Lohit Devanagari"/>
                <w:sz w:val="21"/>
                <w:szCs w:val="21"/>
              </w:rPr>
            </w:pPr>
            <w:r>
              <w:rPr>
                <w:rFonts w:eastAsia="Noto Sans CJK SC" w:cs="Lohit Devanagari" w:ascii="Liberation Sans" w:hAnsi="Liberation Sans"/>
                <w:b/>
                <w:bCs/>
                <w:i/>
                <w:iCs/>
                <w:sz w:val="21"/>
                <w:szCs w:val="21"/>
              </w:rPr>
              <w:t>Absorptionsspektrum:</w:t>
            </w:r>
          </w:p>
        </w:tc>
        <w:tc>
          <w:tcPr>
            <w:tcW w:w="2493" w:type="dxa"/>
            <w:tcBorders>
              <w:top w:val="single" w:sz="2" w:space="0" w:color="000000"/>
              <w:left w:val="single" w:sz="2" w:space="0" w:color="000000"/>
              <w:bottom w:val="single" w:sz="2" w:space="0" w:color="000000"/>
              <w:insideH w:val="single" w:sz="2" w:space="0" w:color="000000"/>
            </w:tcBorders>
            <w:shd w:fill="auto" w:val="clear"/>
          </w:tcPr>
          <w:p>
            <w:pPr>
              <w:pStyle w:val="Textkrper"/>
              <w:spacing w:before="0" w:after="140"/>
              <w:rPr>
                <w:rFonts w:ascii="Liberation Sans" w:hAnsi="Liberation Sans" w:eastAsia="Noto Sans CJK SC" w:cs="Lohit Devanagari"/>
                <w:sz w:val="21"/>
                <w:szCs w:val="21"/>
              </w:rPr>
            </w:pPr>
            <w:r>
              <w:rPr>
                <w:rFonts w:eastAsia="Noto Sans CJK SC" w:cs="Lohit Devanagari" w:ascii="Liberation Sans" w:hAnsi="Liberation Sans"/>
                <w:sz w:val="21"/>
                <w:szCs w:val="21"/>
              </w:rPr>
              <w:t xml:space="preserve">der für den Menschen sichtbare Anteil des elektromagnetischen Spektrums </w:t>
            </w:r>
          </w:p>
        </w:tc>
        <w:tc>
          <w:tcPr>
            <w:tcW w:w="2493" w:type="dxa"/>
            <w:tcBorders>
              <w:top w:val="single" w:sz="2" w:space="0" w:color="000000"/>
              <w:left w:val="single" w:sz="2" w:space="0" w:color="000000"/>
              <w:bottom w:val="single" w:sz="2" w:space="0" w:color="000000"/>
              <w:insideH w:val="single" w:sz="2" w:space="0" w:color="000000"/>
            </w:tcBorders>
            <w:shd w:fill="auto" w:val="clear"/>
          </w:tcPr>
          <w:p>
            <w:pPr>
              <w:pStyle w:val="Textkrper"/>
              <w:spacing w:before="0" w:after="140"/>
              <w:rPr>
                <w:rFonts w:ascii="Liberation Sans" w:hAnsi="Liberation Sans" w:eastAsia="Noto Sans CJK SC" w:cs="Lohit Devanagari"/>
                <w:sz w:val="21"/>
                <w:szCs w:val="21"/>
              </w:rPr>
            </w:pPr>
            <w:r>
              <w:rPr>
                <w:rFonts w:eastAsia="Noto Sans CJK SC" w:cs="Lohit Devanagari" w:ascii="Liberation Sans" w:hAnsi="Liberation Sans"/>
                <w:sz w:val="21"/>
                <w:szCs w:val="21"/>
              </w:rPr>
              <w:t>es kann durch Brechung eines weißen Lichtstrahls an Prisma sichtbar gemacht werden</w:t>
            </w:r>
          </w:p>
        </w:tc>
        <w:tc>
          <w:tcPr>
            <w:tcW w:w="2492"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extkrper"/>
              <w:spacing w:before="0" w:after="140"/>
              <w:rPr>
                <w:rFonts w:ascii="Liberation Sans" w:hAnsi="Liberation Sans" w:eastAsia="Noto Sans CJK SC" w:cs="Lohit Devanagari"/>
                <w:sz w:val="21"/>
                <w:szCs w:val="21"/>
              </w:rPr>
            </w:pPr>
            <w:r>
              <w:rPr>
                <w:rFonts w:eastAsia="Noto Sans CJK SC" w:cs="Lohit Devanagari" w:ascii="Liberation Sans" w:hAnsi="Liberation Sans"/>
                <w:sz w:val="21"/>
                <w:szCs w:val="21"/>
              </w:rPr>
              <w:t xml:space="preserve">im </w:t>
            </w:r>
            <w:r>
              <w:rPr>
                <w:rFonts w:eastAsia="Noto Sans CJK SC" w:cs="Lohit Devanagari" w:ascii="Liberation Sans" w:hAnsi="Liberation Sans"/>
                <w:b w:val="false"/>
                <w:bCs w:val="false"/>
                <w:i w:val="false"/>
                <w:iCs w:val="false"/>
                <w:sz w:val="21"/>
                <w:szCs w:val="21"/>
              </w:rPr>
              <w:t>Absorptionsspektrum</w:t>
            </w:r>
            <w:r>
              <w:rPr>
                <w:rFonts w:eastAsia="Noto Sans CJK SC" w:cs="Lohit Devanagari" w:ascii="Liberation Sans" w:hAnsi="Liberation Sans"/>
                <w:sz w:val="21"/>
                <w:szCs w:val="21"/>
              </w:rPr>
              <w:t xml:space="preserve"> des Chlorohylls sind bestimmte Wellenlängenbereiche (rot und blau) nicht mehr zu sehen</w:t>
            </w:r>
          </w:p>
        </w:tc>
      </w:tr>
      <w:tr>
        <w:trPr/>
        <w:tc>
          <w:tcPr>
            <w:tcW w:w="2493" w:type="dxa"/>
            <w:vMerge w:val="continue"/>
            <w:tcBorders>
              <w:top w:val="single" w:sz="2" w:space="0" w:color="000000"/>
              <w:left w:val="single" w:sz="2" w:space="0" w:color="000000"/>
              <w:bottom w:val="single" w:sz="2" w:space="0" w:color="000000"/>
              <w:insideH w:val="single" w:sz="2" w:space="0" w:color="000000"/>
            </w:tcBorders>
            <w:shd w:fill="auto" w:val="clear"/>
          </w:tcPr>
          <w:p>
            <w:pPr>
              <w:pStyle w:val="Tabelleninhalt"/>
              <w:rPr>
                <w:rFonts w:ascii="Liberation Sans" w:hAnsi="Liberation Sans" w:eastAsia="Noto Sans CJK SC" w:cs="Lohit Devanagari"/>
                <w:sz w:val="21"/>
                <w:szCs w:val="21"/>
              </w:rPr>
            </w:pPr>
            <w:r>
              <w:rPr>
                <w:rFonts w:eastAsia="Noto Sans CJK SC" w:cs="Lohit Devanagari" w:ascii="Liberation Sans" w:hAnsi="Liberation Sans"/>
                <w:sz w:val="21"/>
                <w:szCs w:val="21"/>
              </w:rPr>
            </w:r>
          </w:p>
        </w:tc>
        <w:tc>
          <w:tcPr>
            <w:tcW w:w="2493" w:type="dxa"/>
            <w:tcBorders>
              <w:top w:val="single" w:sz="2" w:space="0" w:color="000000"/>
              <w:left w:val="single" w:sz="2" w:space="0" w:color="000000"/>
              <w:bottom w:val="single" w:sz="2" w:space="0" w:color="000000"/>
              <w:insideH w:val="single" w:sz="2" w:space="0" w:color="000000"/>
            </w:tcBorders>
            <w:shd w:fill="auto" w:val="clear"/>
          </w:tcPr>
          <w:p>
            <w:pPr>
              <w:pStyle w:val="Textkrper"/>
              <w:spacing w:before="0" w:after="140"/>
              <w:rPr>
                <w:rFonts w:ascii="Liberation Sans" w:hAnsi="Liberation Sans" w:eastAsia="Noto Sans CJK SC" w:cs="Lohit Devanagari"/>
                <w:b w:val="false"/>
                <w:b w:val="false"/>
                <w:bCs w:val="false"/>
                <w:i w:val="false"/>
                <w:i w:val="false"/>
                <w:iCs w:val="false"/>
                <w:sz w:val="21"/>
                <w:szCs w:val="21"/>
              </w:rPr>
            </w:pPr>
            <w:r>
              <w:rPr>
                <w:rFonts w:eastAsia="Noto Sans CJK SC" w:cs="Lohit Devanagari" w:ascii="Liberation Sans" w:hAnsi="Liberation Sans"/>
                <w:b w:val="false"/>
                <w:bCs w:val="false"/>
                <w:i w:val="false"/>
                <w:iCs w:val="false"/>
                <w:sz w:val="21"/>
                <w:szCs w:val="21"/>
              </w:rPr>
              <w:t>Photonen bestimmter Wellenlängen werden absorbiert, wenn Licht durch Materie dringt</w:t>
            </w:r>
          </w:p>
        </w:tc>
        <w:tc>
          <w:tcPr>
            <w:tcW w:w="2493" w:type="dxa"/>
            <w:tcBorders>
              <w:top w:val="single" w:sz="2" w:space="0" w:color="000000"/>
              <w:left w:val="single" w:sz="2" w:space="0" w:color="000000"/>
              <w:bottom w:val="single" w:sz="2" w:space="0" w:color="000000"/>
              <w:insideH w:val="single" w:sz="2" w:space="0" w:color="000000"/>
            </w:tcBorders>
            <w:shd w:fill="auto" w:val="clear"/>
          </w:tcPr>
          <w:p>
            <w:pPr>
              <w:pStyle w:val="Textkrper"/>
              <w:spacing w:before="0" w:after="140"/>
              <w:rPr>
                <w:rFonts w:ascii="Liberation Sans" w:hAnsi="Liberation Sans" w:eastAsia="Noto Sans CJK SC" w:cs="Lohit Devanagari"/>
                <w:sz w:val="21"/>
                <w:szCs w:val="21"/>
              </w:rPr>
            </w:pPr>
            <w:r>
              <w:rPr>
                <w:rFonts w:eastAsia="Noto Sans CJK SC" w:cs="Lohit Devanagari" w:ascii="Liberation Sans" w:hAnsi="Liberation Sans"/>
                <w:sz w:val="21"/>
                <w:szCs w:val="21"/>
              </w:rPr>
              <w:t>Licht dieser Wellenlängen fehlt im Farbspektrum, die entsprechenden Banden erscheinen dann dunkel</w:t>
            </w:r>
          </w:p>
        </w:tc>
        <w:tc>
          <w:tcPr>
            <w:tcW w:w="2492"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extkrper"/>
              <w:spacing w:before="0" w:after="140"/>
              <w:rPr>
                <w:rFonts w:ascii="Liberation Sans" w:hAnsi="Liberation Sans" w:eastAsia="Noto Sans CJK SC" w:cs="Lohit Devanagari"/>
                <w:sz w:val="21"/>
                <w:szCs w:val="21"/>
              </w:rPr>
            </w:pPr>
            <w:r>
              <w:rPr>
                <w:rFonts w:eastAsia="Noto Sans CJK SC" w:cs="Lohit Devanagari" w:ascii="Liberation Sans" w:hAnsi="Liberation Sans"/>
                <w:sz w:val="21"/>
                <w:szCs w:val="21"/>
              </w:rPr>
              <w:t>der Lichtstrahl wird Bereiche gleicher Wellenlängen aufgespalten und erscheint als Abfolge einfarbiger Banden</w:t>
            </w:r>
          </w:p>
        </w:tc>
      </w:tr>
    </w:tbl>
    <w:p>
      <w:pPr>
        <w:pStyle w:val="Normal"/>
        <w:rPr/>
      </w:pPr>
      <w:r>
        <w:rPr/>
      </w:r>
      <w:r>
        <w:br w:type="page"/>
      </w:r>
    </w:p>
    <w:p>
      <w:pPr>
        <w:pStyle w:val="Berschrift3"/>
        <w:numPr>
          <w:ilvl w:val="2"/>
          <w:numId w:val="2"/>
        </w:numPr>
        <w:rPr/>
      </w:pPr>
      <w:r>
        <w:rPr/>
        <w:t>Das Wirkungsspektrum der Fotosynthese</w:t>
      </w:r>
    </w:p>
    <w:p>
      <w:pPr>
        <w:pStyle w:val="Textkrper"/>
        <w:rPr/>
      </w:pPr>
      <w:r>
        <w:rPr/>
        <w:t xml:space="preserve">Im </w:t>
      </w:r>
      <w:r>
        <w:rPr>
          <w:b w:val="false"/>
          <w:bCs w:val="false"/>
        </w:rPr>
        <w:t>Engelmannschen Bakterienversuch</w:t>
      </w:r>
      <w:r>
        <w:rPr/>
        <w:t xml:space="preserve"> wird die Fotosyntheserate bei Belichtung von pflanzlichen Zellen mit Licht verschiedener Wellenlängen näherungsweise bestimmt. Der Nachweis erfolgt indirekt über Bakterien, die sich aktiv dorthin bewegen, wo eine hohe Sauerstoffkonzentration vorliegt. Als fotosynthesefähiger Organismus dient eine fadenförmige Grünalge. Für das Experiment wird ein Lichtstrahl durch ein Prisma gebrochen und das entstehende Spektrum auf den Algenfaden, der in einem bakterienhaltigen Medium liegt, projiziert (vgl. Abbildung 1). Der Versuch zeigt die Korrelation der Fotosyntheserate mit der Absorptionsfähigkeit bestimmter Wellenlängen durch Chlorophyll. Die Fotosyntheserate in Abhängigkeit von der Wellenlänge des Lichts wird als </w:t>
      </w:r>
      <w:r>
        <w:rPr>
          <w:b/>
          <w:bCs/>
          <w:i/>
          <w:iCs/>
        </w:rPr>
        <w:t>Wirkungsspektrum</w:t>
      </w:r>
      <w:r>
        <w:rPr/>
        <w:t xml:space="preserve"> der Fotosynthese bezeichnet.</w:t>
      </w:r>
    </w:p>
    <w:p>
      <w:pPr>
        <w:pStyle w:val="Textkrper"/>
        <w:jc w:val="center"/>
        <w:rPr/>
      </w:pPr>
      <w:r>
        <w:rPr/>
        <w:drawing>
          <wp:inline distT="0" distB="0" distL="0" distR="0">
            <wp:extent cx="3774440" cy="4005580"/>
            <wp:effectExtent l="0" t="0" r="0" b="0"/>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3774440" cy="4005580"/>
                    </a:xfrm>
                    <a:prstGeom prst="rect">
                      <a:avLst/>
                    </a:prstGeom>
                  </pic:spPr>
                </pic:pic>
              </a:graphicData>
            </a:graphic>
          </wp:inline>
        </w:drawing>
      </w:r>
    </w:p>
    <w:p>
      <w:pPr>
        <w:pStyle w:val="Normal"/>
        <w:rPr>
          <w:rFonts w:ascii="Arial" w:hAnsi="Arial"/>
          <w:sz w:val="20"/>
          <w:szCs w:val="20"/>
        </w:rPr>
      </w:pPr>
      <w:r>
        <w:rPr>
          <w:rFonts w:ascii="Arial" w:hAnsi="Arial"/>
          <w:sz w:val="20"/>
          <w:szCs w:val="20"/>
        </w:rPr>
        <w:t>Abbildung 1: Engelmannscher Bakterienversuch und Wirkungsspektrum der Fotosynthese</w:t>
      </w:r>
    </w:p>
    <w:p>
      <w:pPr>
        <w:pStyle w:val="Berschrift3"/>
        <w:numPr>
          <w:ilvl w:val="2"/>
          <w:numId w:val="2"/>
        </w:numPr>
        <w:rPr>
          <w:rFonts w:ascii="Liberation Sans" w:hAnsi="Liberation Sans" w:eastAsia="Noto Sans CJK SC" w:cs="Lohit Devanagari"/>
          <w:b/>
          <w:b/>
          <w:bCs/>
          <w:i/>
          <w:i/>
          <w:iCs/>
          <w:sz w:val="24"/>
          <w:szCs w:val="24"/>
        </w:rPr>
      </w:pPr>
      <w:r>
        <w:rPr>
          <w:rFonts w:eastAsia="Noto Sans CJK SC" w:cs="Lohit Devanagari"/>
          <w:b/>
          <w:bCs/>
          <w:i/>
          <w:iCs/>
          <w:sz w:val="24"/>
          <w:szCs w:val="24"/>
        </w:rPr>
        <w:t>Aufgaben</w:t>
      </w:r>
    </w:p>
    <w:p>
      <w:pPr>
        <w:pStyle w:val="Textkrper"/>
        <w:numPr>
          <w:ilvl w:val="0"/>
          <w:numId w:val="3"/>
        </w:numPr>
        <w:rPr/>
      </w:pPr>
      <w:r>
        <w:rPr/>
        <w:t>Erklären Sie den Zusammenhang zwischen Fotosyntheserate und Sauerstoffkonzentration.</w:t>
      </w:r>
    </w:p>
    <w:p>
      <w:pPr>
        <w:pStyle w:val="Textkrper"/>
        <w:numPr>
          <w:ilvl w:val="0"/>
          <w:numId w:val="3"/>
        </w:numPr>
        <w:rPr/>
      </w:pPr>
      <w:r>
        <w:rPr/>
        <w:t>Zeichnen Sie die zu erwartende Verteilung der Bakterien am Algenfaden nach Projektion des Farbspektrums ein (ergänzen Sie weitere Bakterien).</w:t>
      </w:r>
    </w:p>
    <w:p>
      <w:pPr>
        <w:pStyle w:val="Textkrper"/>
        <w:numPr>
          <w:ilvl w:val="0"/>
          <w:numId w:val="3"/>
        </w:numPr>
        <w:rPr/>
      </w:pPr>
      <w:r>
        <w:rPr/>
        <w:t>Beschreiben Sie das Versuchsergebnis.</w:t>
      </w:r>
    </w:p>
    <w:p>
      <w:pPr>
        <w:pStyle w:val="Textkrper"/>
        <w:rPr/>
      </w:pPr>
      <w:r>
        <w:rPr/>
      </w:r>
      <w:r>
        <w:br w:type="page"/>
      </w:r>
    </w:p>
    <w:p>
      <w:pPr>
        <w:pStyle w:val="Berschrift1"/>
        <w:numPr>
          <w:ilvl w:val="0"/>
          <w:numId w:val="2"/>
        </w:numPr>
        <w:rPr/>
      </w:pPr>
      <w:r>
        <w:rPr/>
        <w:t xml:space="preserve">Der Engelmannsche Bakterienversuch - </w:t>
      </w:r>
      <w:r>
        <w:rPr>
          <w:color w:val="CE181E"/>
        </w:rPr>
        <w:t>Lösungen</w:t>
      </w:r>
    </w:p>
    <w:p>
      <w:pPr>
        <w:pStyle w:val="Berschrift2"/>
        <w:numPr>
          <w:ilvl w:val="1"/>
          <w:numId w:val="2"/>
        </w:numPr>
        <w:rPr/>
      </w:pPr>
      <w:r>
        <w:rPr/>
        <w:t>Grundlagen:</w:t>
        <w:br/>
        <w:t>Farbspektrum und Absorptionsspektrum des Chlorophylls</w:t>
      </w:r>
    </w:p>
    <w:p>
      <w:pPr>
        <w:pStyle w:val="Berschrift"/>
        <w:rPr>
          <w:b/>
          <w:b/>
          <w:bCs/>
          <w:i/>
          <w:i/>
          <w:iCs/>
          <w:sz w:val="24"/>
          <w:szCs w:val="24"/>
        </w:rPr>
      </w:pPr>
      <w:r>
        <w:rPr>
          <w:b/>
          <w:bCs/>
          <w:i/>
          <w:iCs/>
          <w:sz w:val="24"/>
          <w:szCs w:val="24"/>
        </w:rPr>
        <w:t>Aufgaben:</w:t>
      </w:r>
    </w:p>
    <w:p>
      <w:pPr>
        <w:pStyle w:val="Textkrper"/>
        <w:numPr>
          <w:ilvl w:val="0"/>
          <w:numId w:val="6"/>
        </w:numPr>
        <w:rPr>
          <w:sz w:val="20"/>
          <w:szCs w:val="20"/>
        </w:rPr>
      </w:pPr>
      <w:r>
        <w:rPr>
          <w:sz w:val="20"/>
          <w:szCs w:val="20"/>
        </w:rPr>
        <w:t xml:space="preserve">Erstellen Sie auf der Grundlage des Versuchs zur Lichtabsorption durch gelöstes Chlorophyll Definitionen für die Begriffe Farbspektrum und Absorptionsspektrum, indem Sie die falschen Satzbausteine durchstreichen. Ergänzen Sie dann die nötigen Satzzeichen und passen Sie die Groß-/Kleinschreibung ggf. an. </w:t>
        <w:br/>
      </w:r>
      <w:r>
        <w:rPr>
          <w:color w:val="CE181E"/>
          <w:sz w:val="20"/>
          <w:szCs w:val="20"/>
        </w:rPr>
        <w:t>Siehe Tabellen</w:t>
      </w:r>
    </w:p>
    <w:p>
      <w:pPr>
        <w:pStyle w:val="Textkrper"/>
        <w:numPr>
          <w:ilvl w:val="0"/>
          <w:numId w:val="6"/>
        </w:numPr>
        <w:rPr>
          <w:sz w:val="20"/>
          <w:szCs w:val="20"/>
        </w:rPr>
      </w:pPr>
      <w:r>
        <w:rPr>
          <w:sz w:val="20"/>
          <w:szCs w:val="20"/>
        </w:rPr>
        <w:t>Erklären Sie auf der Grundlage des Absorptionsspektrums des Chlorophylls, weshalb wir Pflanzen als grün wahrnehmen.</w:t>
        <w:br/>
      </w:r>
      <w:r>
        <w:rPr>
          <w:color w:val="CE181E"/>
          <w:sz w:val="20"/>
          <w:szCs w:val="20"/>
        </w:rPr>
        <w:t>Grünes Licht (bzw. Photonen der entsprechenden Wellenlänge) wird vom Chlorophyll praktisch nicht absorbiert, sondern reflektiert, wohingegen rote und blaue Anteile des Lichts absorbiert werden. Nur die Anteile des Spektrums, die nicht absorbiert werden, können vom Menschen wahrgenommen werden.</w:t>
      </w:r>
    </w:p>
    <w:tbl>
      <w:tblPr>
        <w:tblW w:w="9972" w:type="dxa"/>
        <w:jc w:val="left"/>
        <w:tblInd w:w="0" w:type="dxa"/>
        <w:tblBorders>
          <w:top w:val="single" w:sz="2" w:space="0" w:color="000000"/>
          <w:left w:val="single" w:sz="2" w:space="0" w:color="000000"/>
          <w:bottom w:val="single" w:sz="2" w:space="0" w:color="000000"/>
          <w:insideH w:val="single" w:sz="2" w:space="0" w:color="000000"/>
        </w:tblBorders>
        <w:tblCellMar>
          <w:top w:w="55" w:type="dxa"/>
          <w:left w:w="53" w:type="dxa"/>
          <w:bottom w:w="55" w:type="dxa"/>
          <w:right w:w="55" w:type="dxa"/>
        </w:tblCellMar>
      </w:tblPr>
      <w:tblGrid>
        <w:gridCol w:w="2493"/>
        <w:gridCol w:w="2493"/>
        <w:gridCol w:w="2493"/>
        <w:gridCol w:w="2492"/>
      </w:tblGrid>
      <w:tr>
        <w:trPr/>
        <w:tc>
          <w:tcPr>
            <w:tcW w:w="2493" w:type="dxa"/>
            <w:vMerge w:val="restart"/>
            <w:tcBorders>
              <w:top w:val="single" w:sz="2" w:space="0" w:color="000000"/>
              <w:left w:val="single" w:sz="2" w:space="0" w:color="000000"/>
              <w:bottom w:val="single" w:sz="2" w:space="0" w:color="000000"/>
              <w:insideH w:val="single" w:sz="2" w:space="0" w:color="000000"/>
            </w:tcBorders>
            <w:shd w:fill="auto" w:val="clear"/>
          </w:tcPr>
          <w:p>
            <w:pPr>
              <w:pStyle w:val="Textkrper"/>
              <w:spacing w:before="0" w:after="140"/>
              <w:rPr>
                <w:rFonts w:ascii="Liberation Sans" w:hAnsi="Liberation Sans" w:eastAsia="Noto Sans CJK SC" w:cs="Lohit Devanagari"/>
                <w:sz w:val="18"/>
                <w:szCs w:val="18"/>
              </w:rPr>
            </w:pPr>
            <w:r>
              <w:rPr>
                <w:rFonts w:eastAsia="Noto Sans CJK SC" w:cs="Lohit Devanagari" w:ascii="Liberation Sans" w:hAnsi="Liberation Sans"/>
                <w:b/>
                <w:bCs/>
                <w:i/>
                <w:iCs/>
                <w:sz w:val="18"/>
                <w:szCs w:val="18"/>
              </w:rPr>
              <w:t>Farbspektrum:</w:t>
            </w:r>
          </w:p>
        </w:tc>
        <w:tc>
          <w:tcPr>
            <w:tcW w:w="2493" w:type="dxa"/>
            <w:tcBorders>
              <w:top w:val="single" w:sz="2" w:space="0" w:color="000000"/>
              <w:left w:val="single" w:sz="2" w:space="0" w:color="000000"/>
              <w:bottom w:val="single" w:sz="2" w:space="0" w:color="000000"/>
              <w:insideH w:val="single" w:sz="2" w:space="0" w:color="000000"/>
            </w:tcBorders>
            <w:shd w:fill="666666" w:val="clear"/>
          </w:tcPr>
          <w:p>
            <w:pPr>
              <w:pStyle w:val="Textkrper"/>
              <w:spacing w:before="0" w:after="140"/>
              <w:rPr>
                <w:rFonts w:ascii="Liberation Sans" w:hAnsi="Liberation Sans" w:eastAsia="Noto Sans CJK SC" w:cs="Lohit Devanagari"/>
                <w:sz w:val="18"/>
                <w:szCs w:val="18"/>
              </w:rPr>
            </w:pPr>
            <w:r>
              <w:rPr>
                <w:rFonts w:eastAsia="Noto Sans CJK SC" w:cs="Lohit Devanagari" w:ascii="Liberation Sans" w:hAnsi="Liberation Sans"/>
                <w:sz w:val="18"/>
                <w:szCs w:val="18"/>
              </w:rPr>
              <w:t>Photonen bestimmter Wellenlängen werden absorbiert, wenn Licht durch Materie dringt</w:t>
            </w:r>
          </w:p>
        </w:tc>
        <w:tc>
          <w:tcPr>
            <w:tcW w:w="2493" w:type="dxa"/>
            <w:tcBorders>
              <w:top w:val="single" w:sz="2" w:space="0" w:color="000000"/>
              <w:left w:val="single" w:sz="2" w:space="0" w:color="000000"/>
              <w:bottom w:val="single" w:sz="2" w:space="0" w:color="000000"/>
              <w:insideH w:val="single" w:sz="2" w:space="0" w:color="000000"/>
            </w:tcBorders>
            <w:shd w:fill="auto" w:val="clear"/>
          </w:tcPr>
          <w:p>
            <w:pPr>
              <w:pStyle w:val="Textkrper"/>
              <w:spacing w:before="0" w:after="140"/>
              <w:rPr>
                <w:rFonts w:ascii="Liberation Sans" w:hAnsi="Liberation Sans" w:eastAsia="Noto Sans CJK SC" w:cs="Lohit Devanagari"/>
                <w:sz w:val="18"/>
                <w:szCs w:val="18"/>
              </w:rPr>
            </w:pPr>
            <w:r>
              <w:rPr>
                <w:rFonts w:eastAsia="Noto Sans CJK SC" w:cs="Lohit Devanagari" w:ascii="Liberation Sans" w:hAnsi="Liberation Sans"/>
                <w:color w:val="CE181E"/>
                <w:sz w:val="18"/>
                <w:szCs w:val="18"/>
              </w:rPr>
              <w:t>E</w:t>
            </w:r>
            <w:r>
              <w:rPr>
                <w:rFonts w:eastAsia="Noto Sans CJK SC" w:cs="Lohit Devanagari" w:ascii="Liberation Sans" w:hAnsi="Liberation Sans"/>
                <w:sz w:val="18"/>
                <w:szCs w:val="18"/>
              </w:rPr>
              <w:t>s kann durch Brechung eines weißen Lichtstrahls an Prisma sichtbar gemacht werden</w:t>
            </w:r>
            <w:r>
              <w:rPr>
                <w:rFonts w:eastAsia="Noto Sans CJK SC" w:cs="Lohit Devanagari" w:ascii="Liberation Sans" w:hAnsi="Liberation Sans"/>
                <w:color w:val="CE181E"/>
                <w:sz w:val="18"/>
                <w:szCs w:val="18"/>
              </w:rPr>
              <w:t>.</w:t>
            </w:r>
          </w:p>
        </w:tc>
        <w:tc>
          <w:tcPr>
            <w:tcW w:w="2492"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extkrper"/>
              <w:spacing w:before="0" w:after="140"/>
              <w:rPr>
                <w:rFonts w:ascii="Liberation Sans" w:hAnsi="Liberation Sans" w:eastAsia="Noto Sans CJK SC" w:cs="Lohit Devanagari"/>
                <w:sz w:val="18"/>
                <w:szCs w:val="18"/>
              </w:rPr>
            </w:pPr>
            <w:r>
              <w:rPr>
                <w:rFonts w:eastAsia="Noto Sans CJK SC" w:cs="Lohit Devanagari" w:ascii="Liberation Sans" w:hAnsi="Liberation Sans"/>
                <w:color w:val="CE181E"/>
                <w:sz w:val="18"/>
                <w:szCs w:val="18"/>
              </w:rPr>
              <w:t>D</w:t>
            </w:r>
            <w:r>
              <w:rPr>
                <w:rFonts w:eastAsia="Noto Sans CJK SC" w:cs="Lohit Devanagari" w:ascii="Liberation Sans" w:hAnsi="Liberation Sans"/>
                <w:sz w:val="18"/>
                <w:szCs w:val="18"/>
              </w:rPr>
              <w:t>er Lichtstrahl wird Bereiche gleicher Wellenlängen aufgespalten und erscheint als Abfolge einfarbiger Banden</w:t>
            </w:r>
            <w:r>
              <w:rPr>
                <w:rFonts w:eastAsia="Noto Sans CJK SC" w:cs="Lohit Devanagari" w:ascii="Liberation Sans" w:hAnsi="Liberation Sans"/>
                <w:color w:val="CE181E"/>
                <w:sz w:val="18"/>
                <w:szCs w:val="18"/>
              </w:rPr>
              <w:t>.</w:t>
            </w:r>
          </w:p>
        </w:tc>
      </w:tr>
      <w:tr>
        <w:trPr/>
        <w:tc>
          <w:tcPr>
            <w:tcW w:w="2493" w:type="dxa"/>
            <w:vMerge w:val="continue"/>
            <w:tcBorders>
              <w:top w:val="single" w:sz="2" w:space="0" w:color="000000"/>
              <w:left w:val="single" w:sz="2" w:space="0" w:color="000000"/>
              <w:bottom w:val="single" w:sz="2" w:space="0" w:color="000000"/>
              <w:insideH w:val="single" w:sz="2" w:space="0" w:color="000000"/>
            </w:tcBorders>
            <w:shd w:fill="auto" w:val="clear"/>
          </w:tcPr>
          <w:p>
            <w:pPr>
              <w:pStyle w:val="Tabelleninhalt"/>
              <w:rPr>
                <w:rFonts w:ascii="Liberation Sans" w:hAnsi="Liberation Sans" w:eastAsia="Noto Sans CJK SC" w:cs="Lohit Devanagari"/>
                <w:sz w:val="18"/>
                <w:szCs w:val="18"/>
              </w:rPr>
            </w:pPr>
            <w:r>
              <w:rPr>
                <w:rFonts w:eastAsia="Noto Sans CJK SC" w:cs="Lohit Devanagari" w:ascii="Liberation Sans" w:hAnsi="Liberation Sans"/>
                <w:sz w:val="18"/>
                <w:szCs w:val="18"/>
              </w:rPr>
            </w:r>
          </w:p>
        </w:tc>
        <w:tc>
          <w:tcPr>
            <w:tcW w:w="2493" w:type="dxa"/>
            <w:tcBorders>
              <w:top w:val="single" w:sz="2" w:space="0" w:color="000000"/>
              <w:left w:val="single" w:sz="2" w:space="0" w:color="000000"/>
              <w:bottom w:val="single" w:sz="2" w:space="0" w:color="000000"/>
              <w:insideH w:val="single" w:sz="2" w:space="0" w:color="000000"/>
            </w:tcBorders>
            <w:shd w:fill="auto" w:val="clear"/>
          </w:tcPr>
          <w:p>
            <w:pPr>
              <w:pStyle w:val="Textkrper"/>
              <w:spacing w:before="0" w:after="140"/>
              <w:rPr>
                <w:rFonts w:ascii="Liberation Sans" w:hAnsi="Liberation Sans" w:eastAsia="Noto Sans CJK SC" w:cs="Lohit Devanagari"/>
                <w:sz w:val="18"/>
                <w:szCs w:val="18"/>
              </w:rPr>
            </w:pPr>
            <w:r>
              <w:rPr>
                <w:rFonts w:eastAsia="Noto Sans CJK SC" w:cs="Lohit Devanagari" w:ascii="Liberation Sans" w:hAnsi="Liberation Sans"/>
                <w:color w:val="CE181E"/>
                <w:sz w:val="18"/>
                <w:szCs w:val="18"/>
              </w:rPr>
              <w:t>D</w:t>
            </w:r>
            <w:r>
              <w:rPr>
                <w:rFonts w:eastAsia="Noto Sans CJK SC" w:cs="Lohit Devanagari" w:ascii="Liberation Sans" w:hAnsi="Liberation Sans"/>
                <w:sz w:val="18"/>
                <w:szCs w:val="18"/>
              </w:rPr>
              <w:t>er für den Menschen sichtbare Anteil des elektromagnetischen Spektrums</w:t>
            </w:r>
            <w:r>
              <w:rPr>
                <w:rFonts w:eastAsia="Noto Sans CJK SC" w:cs="Lohit Devanagari" w:ascii="Liberation Sans" w:hAnsi="Liberation Sans"/>
                <w:color w:val="CE181E"/>
                <w:sz w:val="18"/>
                <w:szCs w:val="18"/>
              </w:rPr>
              <w:t>.</w:t>
            </w:r>
          </w:p>
        </w:tc>
        <w:tc>
          <w:tcPr>
            <w:tcW w:w="2493" w:type="dxa"/>
            <w:tcBorders>
              <w:top w:val="single" w:sz="2" w:space="0" w:color="000000"/>
              <w:left w:val="single" w:sz="2" w:space="0" w:color="000000"/>
              <w:bottom w:val="single" w:sz="2" w:space="0" w:color="000000"/>
              <w:insideH w:val="single" w:sz="2" w:space="0" w:color="000000"/>
            </w:tcBorders>
            <w:shd w:fill="666666" w:val="clear"/>
          </w:tcPr>
          <w:p>
            <w:pPr>
              <w:pStyle w:val="Textkrper"/>
              <w:spacing w:before="0" w:after="140"/>
              <w:rPr>
                <w:rFonts w:ascii="Liberation Sans" w:hAnsi="Liberation Sans" w:eastAsia="Noto Sans CJK SC" w:cs="Lohit Devanagari"/>
                <w:sz w:val="18"/>
                <w:szCs w:val="18"/>
              </w:rPr>
            </w:pPr>
            <w:r>
              <w:rPr>
                <w:rFonts w:eastAsia="Noto Sans CJK SC" w:cs="Lohit Devanagari" w:ascii="Liberation Sans" w:hAnsi="Liberation Sans"/>
                <w:sz w:val="18"/>
                <w:szCs w:val="18"/>
              </w:rPr>
              <w:t>Licht dieser Wellenlängen fehlt im Farbspektrum, die entsprechenden Banden erscheinen dann dunkel</w:t>
            </w:r>
          </w:p>
        </w:tc>
        <w:tc>
          <w:tcPr>
            <w:tcW w:w="2492"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666666" w:val="clear"/>
          </w:tcPr>
          <w:p>
            <w:pPr>
              <w:pStyle w:val="Textkrper"/>
              <w:spacing w:before="0" w:after="140"/>
              <w:rPr>
                <w:rFonts w:ascii="Liberation Sans" w:hAnsi="Liberation Sans" w:eastAsia="Noto Sans CJK SC" w:cs="Lohit Devanagari"/>
                <w:sz w:val="18"/>
                <w:szCs w:val="18"/>
              </w:rPr>
            </w:pPr>
            <w:r>
              <w:rPr>
                <w:rFonts w:eastAsia="Noto Sans CJK SC" w:cs="Lohit Devanagari" w:ascii="Liberation Sans" w:hAnsi="Liberation Sans"/>
                <w:sz w:val="18"/>
                <w:szCs w:val="18"/>
              </w:rPr>
              <w:t xml:space="preserve">im </w:t>
            </w:r>
            <w:r>
              <w:rPr>
                <w:rFonts w:eastAsia="Noto Sans CJK SC" w:cs="Lohit Devanagari" w:ascii="Liberation Sans" w:hAnsi="Liberation Sans"/>
                <w:b w:val="false"/>
                <w:bCs w:val="false"/>
                <w:i w:val="false"/>
                <w:iCs w:val="false"/>
                <w:sz w:val="18"/>
                <w:szCs w:val="18"/>
              </w:rPr>
              <w:t>Absorptionsspektrum</w:t>
            </w:r>
            <w:r>
              <w:rPr>
                <w:rFonts w:eastAsia="Noto Sans CJK SC" w:cs="Lohit Devanagari" w:ascii="Liberation Sans" w:hAnsi="Liberation Sans"/>
                <w:sz w:val="18"/>
                <w:szCs w:val="18"/>
              </w:rPr>
              <w:t xml:space="preserve"> des Chlorohylls sind bestimmte Wellenlängenbereiche (rot und blau) nicht mehr zu sehen</w:t>
            </w:r>
          </w:p>
        </w:tc>
      </w:tr>
    </w:tbl>
    <w:p>
      <w:pPr>
        <w:pStyle w:val="Normal"/>
        <w:rPr/>
      </w:pPr>
      <w:r>
        <w:rPr/>
      </w:r>
    </w:p>
    <w:tbl>
      <w:tblPr>
        <w:tblW w:w="9972" w:type="dxa"/>
        <w:jc w:val="left"/>
        <w:tblInd w:w="0" w:type="dxa"/>
        <w:tblBorders>
          <w:top w:val="single" w:sz="2" w:space="0" w:color="000000"/>
          <w:left w:val="single" w:sz="2" w:space="0" w:color="000000"/>
          <w:bottom w:val="single" w:sz="2" w:space="0" w:color="000000"/>
          <w:insideH w:val="single" w:sz="2" w:space="0" w:color="000000"/>
        </w:tblBorders>
        <w:tblCellMar>
          <w:top w:w="55" w:type="dxa"/>
          <w:left w:w="53" w:type="dxa"/>
          <w:bottom w:w="55" w:type="dxa"/>
          <w:right w:w="55" w:type="dxa"/>
        </w:tblCellMar>
      </w:tblPr>
      <w:tblGrid>
        <w:gridCol w:w="2493"/>
        <w:gridCol w:w="2493"/>
        <w:gridCol w:w="2493"/>
        <w:gridCol w:w="2492"/>
      </w:tblGrid>
      <w:tr>
        <w:trPr/>
        <w:tc>
          <w:tcPr>
            <w:tcW w:w="2493" w:type="dxa"/>
            <w:vMerge w:val="restart"/>
            <w:tcBorders>
              <w:top w:val="single" w:sz="2" w:space="0" w:color="000000"/>
              <w:left w:val="single" w:sz="2" w:space="0" w:color="000000"/>
              <w:bottom w:val="single" w:sz="2" w:space="0" w:color="000000"/>
              <w:insideH w:val="single" w:sz="2" w:space="0" w:color="000000"/>
            </w:tcBorders>
            <w:shd w:fill="auto" w:val="clear"/>
          </w:tcPr>
          <w:p>
            <w:pPr>
              <w:pStyle w:val="Textkrper"/>
              <w:spacing w:before="0" w:after="140"/>
              <w:rPr>
                <w:rFonts w:ascii="Liberation Sans" w:hAnsi="Liberation Sans" w:eastAsia="Noto Sans CJK SC" w:cs="Lohit Devanagari"/>
                <w:sz w:val="18"/>
                <w:szCs w:val="18"/>
              </w:rPr>
            </w:pPr>
            <w:r>
              <w:rPr>
                <w:rFonts w:eastAsia="Noto Sans CJK SC" w:cs="Lohit Devanagari" w:ascii="Liberation Sans" w:hAnsi="Liberation Sans"/>
                <w:b/>
                <w:bCs/>
                <w:i/>
                <w:iCs/>
                <w:sz w:val="18"/>
                <w:szCs w:val="18"/>
              </w:rPr>
              <w:t>Absorptionsspektrum:</w:t>
            </w:r>
          </w:p>
        </w:tc>
        <w:tc>
          <w:tcPr>
            <w:tcW w:w="2493" w:type="dxa"/>
            <w:tcBorders>
              <w:top w:val="single" w:sz="2" w:space="0" w:color="000000"/>
              <w:left w:val="single" w:sz="2" w:space="0" w:color="000000"/>
              <w:bottom w:val="single" w:sz="2" w:space="0" w:color="000000"/>
              <w:insideH w:val="single" w:sz="2" w:space="0" w:color="000000"/>
            </w:tcBorders>
            <w:shd w:fill="666666" w:val="clear"/>
          </w:tcPr>
          <w:p>
            <w:pPr>
              <w:pStyle w:val="Textkrper"/>
              <w:spacing w:before="0" w:after="140"/>
              <w:rPr>
                <w:rFonts w:ascii="Liberation Sans" w:hAnsi="Liberation Sans" w:eastAsia="Noto Sans CJK SC" w:cs="Lohit Devanagari"/>
                <w:sz w:val="18"/>
                <w:szCs w:val="18"/>
              </w:rPr>
            </w:pPr>
            <w:r>
              <w:rPr>
                <w:rFonts w:eastAsia="Noto Sans CJK SC" w:cs="Lohit Devanagari" w:ascii="Liberation Sans" w:hAnsi="Liberation Sans"/>
                <w:sz w:val="18"/>
                <w:szCs w:val="18"/>
              </w:rPr>
              <w:t xml:space="preserve">der für den Menschen sichtbare Anteil des elektromagnetischen Spektrums </w:t>
            </w:r>
          </w:p>
        </w:tc>
        <w:tc>
          <w:tcPr>
            <w:tcW w:w="2493" w:type="dxa"/>
            <w:tcBorders>
              <w:top w:val="single" w:sz="2" w:space="0" w:color="000000"/>
              <w:left w:val="single" w:sz="2" w:space="0" w:color="000000"/>
              <w:bottom w:val="single" w:sz="2" w:space="0" w:color="000000"/>
              <w:insideH w:val="single" w:sz="2" w:space="0" w:color="000000"/>
            </w:tcBorders>
            <w:shd w:fill="666666" w:val="clear"/>
          </w:tcPr>
          <w:p>
            <w:pPr>
              <w:pStyle w:val="Textkrper"/>
              <w:spacing w:before="0" w:after="140"/>
              <w:rPr>
                <w:rFonts w:ascii="Liberation Sans" w:hAnsi="Liberation Sans" w:eastAsia="Noto Sans CJK SC" w:cs="Lohit Devanagari"/>
                <w:sz w:val="18"/>
                <w:szCs w:val="18"/>
              </w:rPr>
            </w:pPr>
            <w:r>
              <w:rPr>
                <w:rFonts w:eastAsia="Noto Sans CJK SC" w:cs="Lohit Devanagari" w:ascii="Liberation Sans" w:hAnsi="Liberation Sans"/>
                <w:sz w:val="18"/>
                <w:szCs w:val="18"/>
              </w:rPr>
              <w:t>es kann durch Brechung eines weißen Lichtstrahls an Prisma sichtbar gemacht werden</w:t>
            </w:r>
          </w:p>
        </w:tc>
        <w:tc>
          <w:tcPr>
            <w:tcW w:w="2492"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extkrper"/>
              <w:spacing w:before="0" w:after="140"/>
              <w:rPr>
                <w:rFonts w:ascii="Liberation Sans" w:hAnsi="Liberation Sans" w:eastAsia="Noto Sans CJK SC" w:cs="Lohit Devanagari"/>
                <w:sz w:val="18"/>
                <w:szCs w:val="18"/>
              </w:rPr>
            </w:pPr>
            <w:r>
              <w:rPr>
                <w:rFonts w:eastAsia="Noto Sans CJK SC" w:cs="Lohit Devanagari" w:ascii="Liberation Sans" w:hAnsi="Liberation Sans"/>
                <w:color w:val="CE181E"/>
                <w:sz w:val="18"/>
                <w:szCs w:val="18"/>
              </w:rPr>
              <w:t>I</w:t>
            </w:r>
            <w:r>
              <w:rPr>
                <w:rFonts w:eastAsia="Noto Sans CJK SC" w:cs="Lohit Devanagari" w:ascii="Liberation Sans" w:hAnsi="Liberation Sans"/>
                <w:sz w:val="18"/>
                <w:szCs w:val="18"/>
              </w:rPr>
              <w:t xml:space="preserve">m </w:t>
            </w:r>
            <w:r>
              <w:rPr>
                <w:rFonts w:eastAsia="Noto Sans CJK SC" w:cs="Lohit Devanagari" w:ascii="Liberation Sans" w:hAnsi="Liberation Sans"/>
                <w:b w:val="false"/>
                <w:bCs w:val="false"/>
                <w:i w:val="false"/>
                <w:iCs w:val="false"/>
                <w:sz w:val="18"/>
                <w:szCs w:val="18"/>
              </w:rPr>
              <w:t>Absorptionsspektrum</w:t>
            </w:r>
            <w:r>
              <w:rPr>
                <w:rFonts w:eastAsia="Noto Sans CJK SC" w:cs="Lohit Devanagari" w:ascii="Liberation Sans" w:hAnsi="Liberation Sans"/>
                <w:sz w:val="18"/>
                <w:szCs w:val="18"/>
              </w:rPr>
              <w:t xml:space="preserve"> des Chlorohylls sind bestimmte Wellenlängenbereiche (rot und blau) nicht mehr zu sehen</w:t>
            </w:r>
            <w:r>
              <w:rPr>
                <w:rFonts w:eastAsia="Noto Sans CJK SC" w:cs="Lohit Devanagari" w:ascii="Liberation Sans" w:hAnsi="Liberation Sans"/>
                <w:color w:val="CE181E"/>
                <w:sz w:val="18"/>
                <w:szCs w:val="18"/>
              </w:rPr>
              <w:t>.</w:t>
            </w:r>
          </w:p>
        </w:tc>
      </w:tr>
      <w:tr>
        <w:trPr/>
        <w:tc>
          <w:tcPr>
            <w:tcW w:w="2493" w:type="dxa"/>
            <w:vMerge w:val="continue"/>
            <w:tcBorders>
              <w:top w:val="single" w:sz="2" w:space="0" w:color="000000"/>
              <w:left w:val="single" w:sz="2" w:space="0" w:color="000000"/>
              <w:bottom w:val="single" w:sz="2" w:space="0" w:color="000000"/>
              <w:insideH w:val="single" w:sz="2" w:space="0" w:color="000000"/>
            </w:tcBorders>
            <w:shd w:fill="auto" w:val="clear"/>
          </w:tcPr>
          <w:p>
            <w:pPr>
              <w:pStyle w:val="Tabelleninhalt"/>
              <w:rPr>
                <w:rFonts w:ascii="Liberation Sans" w:hAnsi="Liberation Sans" w:eastAsia="Noto Sans CJK SC" w:cs="Lohit Devanagari"/>
                <w:sz w:val="18"/>
                <w:szCs w:val="18"/>
              </w:rPr>
            </w:pPr>
            <w:r>
              <w:rPr>
                <w:rFonts w:eastAsia="Noto Sans CJK SC" w:cs="Lohit Devanagari" w:ascii="Liberation Sans" w:hAnsi="Liberation Sans"/>
                <w:sz w:val="18"/>
                <w:szCs w:val="18"/>
              </w:rPr>
            </w:r>
          </w:p>
        </w:tc>
        <w:tc>
          <w:tcPr>
            <w:tcW w:w="2493" w:type="dxa"/>
            <w:tcBorders>
              <w:top w:val="single" w:sz="2" w:space="0" w:color="000000"/>
              <w:left w:val="single" w:sz="2" w:space="0" w:color="000000"/>
              <w:bottom w:val="single" w:sz="2" w:space="0" w:color="000000"/>
              <w:insideH w:val="single" w:sz="2" w:space="0" w:color="000000"/>
            </w:tcBorders>
            <w:shd w:fill="auto" w:val="clear"/>
          </w:tcPr>
          <w:p>
            <w:pPr>
              <w:pStyle w:val="Textkrper"/>
              <w:spacing w:before="0" w:after="140"/>
              <w:rPr>
                <w:rFonts w:ascii="Liberation Sans" w:hAnsi="Liberation Sans" w:eastAsia="Noto Sans CJK SC" w:cs="Lohit Devanagari"/>
                <w:b w:val="false"/>
                <w:b w:val="false"/>
                <w:bCs w:val="false"/>
                <w:i w:val="false"/>
                <w:i w:val="false"/>
                <w:iCs w:val="false"/>
                <w:sz w:val="18"/>
                <w:szCs w:val="18"/>
              </w:rPr>
            </w:pPr>
            <w:r>
              <w:rPr>
                <w:rFonts w:eastAsia="Noto Sans CJK SC" w:cs="Lohit Devanagari" w:ascii="Liberation Sans" w:hAnsi="Liberation Sans"/>
                <w:b w:val="false"/>
                <w:bCs w:val="false"/>
                <w:i w:val="false"/>
                <w:iCs w:val="false"/>
                <w:sz w:val="18"/>
                <w:szCs w:val="18"/>
              </w:rPr>
              <w:t>Photonen bestimmter Wellenlängen werden absorbiert, wenn Licht durch Materie dringt</w:t>
            </w:r>
            <w:r>
              <w:rPr>
                <w:rFonts w:eastAsia="Noto Sans CJK SC" w:cs="Lohit Devanagari" w:ascii="Liberation Sans" w:hAnsi="Liberation Sans"/>
                <w:b w:val="false"/>
                <w:bCs w:val="false"/>
                <w:i w:val="false"/>
                <w:iCs w:val="false"/>
                <w:color w:val="CE181E"/>
                <w:sz w:val="18"/>
                <w:szCs w:val="18"/>
              </w:rPr>
              <w:t>.</w:t>
            </w:r>
          </w:p>
        </w:tc>
        <w:tc>
          <w:tcPr>
            <w:tcW w:w="2493" w:type="dxa"/>
            <w:tcBorders>
              <w:top w:val="single" w:sz="2" w:space="0" w:color="000000"/>
              <w:left w:val="single" w:sz="2" w:space="0" w:color="000000"/>
              <w:bottom w:val="single" w:sz="2" w:space="0" w:color="000000"/>
              <w:insideH w:val="single" w:sz="2" w:space="0" w:color="000000"/>
            </w:tcBorders>
            <w:shd w:fill="auto" w:val="clear"/>
          </w:tcPr>
          <w:p>
            <w:pPr>
              <w:pStyle w:val="Textkrper"/>
              <w:spacing w:before="0" w:after="140"/>
              <w:rPr>
                <w:rFonts w:ascii="Liberation Sans" w:hAnsi="Liberation Sans" w:eastAsia="Noto Sans CJK SC" w:cs="Lohit Devanagari"/>
                <w:sz w:val="18"/>
                <w:szCs w:val="18"/>
              </w:rPr>
            </w:pPr>
            <w:r>
              <w:rPr>
                <w:rFonts w:eastAsia="Noto Sans CJK SC" w:cs="Lohit Devanagari" w:ascii="Liberation Sans" w:hAnsi="Liberation Sans"/>
                <w:sz w:val="18"/>
                <w:szCs w:val="18"/>
              </w:rPr>
              <w:t>Licht dieser Wellenlängen fehlt im Farbspektrum, die entsprechenden Banden erscheinen dann dunkel</w:t>
            </w:r>
            <w:r>
              <w:rPr>
                <w:rFonts w:eastAsia="Noto Sans CJK SC" w:cs="Lohit Devanagari" w:ascii="Liberation Sans" w:hAnsi="Liberation Sans"/>
                <w:color w:val="CE181E"/>
                <w:sz w:val="18"/>
                <w:szCs w:val="18"/>
              </w:rPr>
              <w:t>.</w:t>
            </w:r>
          </w:p>
        </w:tc>
        <w:tc>
          <w:tcPr>
            <w:tcW w:w="2492"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666666" w:val="clear"/>
          </w:tcPr>
          <w:p>
            <w:pPr>
              <w:pStyle w:val="Textkrper"/>
              <w:spacing w:before="0" w:after="140"/>
              <w:rPr>
                <w:rFonts w:ascii="Liberation Sans" w:hAnsi="Liberation Sans" w:eastAsia="Noto Sans CJK SC" w:cs="Lohit Devanagari"/>
                <w:sz w:val="18"/>
                <w:szCs w:val="18"/>
              </w:rPr>
            </w:pPr>
            <w:r>
              <w:rPr>
                <w:rFonts w:eastAsia="Noto Sans CJK SC" w:cs="Lohit Devanagari" w:ascii="Liberation Sans" w:hAnsi="Liberation Sans"/>
                <w:sz w:val="18"/>
                <w:szCs w:val="18"/>
              </w:rPr>
              <w:t>der Lichtstrahl wird Bereiche gleicher Wellenlängen aufgespalten und erscheint als Abfolge einfarbiger Banden</w:t>
            </w:r>
          </w:p>
        </w:tc>
      </w:tr>
    </w:tbl>
    <w:p>
      <w:pPr>
        <w:pStyle w:val="Normal"/>
        <w:rPr/>
      </w:pPr>
      <w:r>
        <w:rPr/>
      </w:r>
      <w:r>
        <w:br w:type="page"/>
      </w:r>
    </w:p>
    <w:p>
      <w:pPr>
        <w:pStyle w:val="Berschrift3"/>
        <w:numPr>
          <w:ilvl w:val="2"/>
          <w:numId w:val="2"/>
        </w:numPr>
        <w:rPr/>
      </w:pPr>
      <w:r>
        <w:rPr/>
        <w:t>Das Wirkungsspektrum der Fotosynthese</w:t>
      </w:r>
    </w:p>
    <w:p>
      <w:pPr>
        <w:pStyle w:val="Textkrper"/>
        <w:rPr>
          <w:sz w:val="20"/>
          <w:szCs w:val="20"/>
        </w:rPr>
      </w:pPr>
      <w:r>
        <w:rPr>
          <w:sz w:val="20"/>
          <w:szCs w:val="20"/>
        </w:rPr>
        <w:t xml:space="preserve">Im </w:t>
      </w:r>
      <w:r>
        <w:rPr>
          <w:b w:val="false"/>
          <w:bCs w:val="false"/>
          <w:sz w:val="20"/>
          <w:szCs w:val="20"/>
        </w:rPr>
        <w:t>Engelmannschen Bakterienversuch</w:t>
      </w:r>
      <w:r>
        <w:rPr>
          <w:sz w:val="20"/>
          <w:szCs w:val="20"/>
        </w:rPr>
        <w:t xml:space="preserve"> wird die Fotosyntheserate bei Belichtung von pflanzlichen Zellen mit Licht verschiedener Wellenlängen näherungsweise bestimmt. Der Nachweis erfolgt indirekt über Bakterien, die sich aktiv dorthin bewegen, wo eine hohe Sauerstoffkonzentration vorliegt. Als fotosynthesefähiger Organismus dient eine fadenförmige Grünalge. Für das Experiment wird ein Lichtstrahl durch ein Prisma gebrochen und das entstehende Spektrum auf den Algenfaden, der in einem bakterienhaltigen Medium liegt, projiziert (vgl. Abbildung 1). Der Versuch zeigt die Korrelation der Fotosyntheserate mit der Absorptionsfähigkeit bestimmter Wellenlängen durch Chlorophyll. Die Fotosyntheserate in Abhängigkeit von der Wellenlänge des Lichts wird als </w:t>
      </w:r>
      <w:r>
        <w:rPr>
          <w:b/>
          <w:bCs/>
          <w:i/>
          <w:iCs/>
          <w:sz w:val="20"/>
          <w:szCs w:val="20"/>
        </w:rPr>
        <w:t>Wirkungsspektrum</w:t>
      </w:r>
      <w:r>
        <w:rPr>
          <w:sz w:val="20"/>
          <w:szCs w:val="20"/>
        </w:rPr>
        <w:t xml:space="preserve"> der Fotosynthese bezeichnet.</w:t>
      </w:r>
    </w:p>
    <w:p>
      <w:pPr>
        <w:pStyle w:val="Textkrper"/>
        <w:jc w:val="center"/>
        <w:rPr/>
      </w:pPr>
      <w:r>
        <w:rPr/>
        <w:drawing>
          <wp:inline distT="0" distB="0" distL="0" distR="0">
            <wp:extent cx="2941955" cy="3446780"/>
            <wp:effectExtent l="0" t="0" r="0" b="0"/>
            <wp:docPr id="2"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
                    <pic:cNvPicPr>
                      <a:picLocks noChangeAspect="1" noChangeArrowheads="1"/>
                    </pic:cNvPicPr>
                  </pic:nvPicPr>
                  <pic:blipFill>
                    <a:blip r:embed="rId3"/>
                    <a:stretch>
                      <a:fillRect/>
                    </a:stretch>
                  </pic:blipFill>
                  <pic:spPr bwMode="auto">
                    <a:xfrm>
                      <a:off x="0" y="0"/>
                      <a:ext cx="2941955" cy="3446780"/>
                    </a:xfrm>
                    <a:prstGeom prst="rect">
                      <a:avLst/>
                    </a:prstGeom>
                  </pic:spPr>
                </pic:pic>
              </a:graphicData>
            </a:graphic>
          </wp:inline>
        </w:drawing>
      </w:r>
    </w:p>
    <w:p>
      <w:pPr>
        <w:pStyle w:val="Normal"/>
        <w:rPr>
          <w:rFonts w:ascii="Arial" w:hAnsi="Arial"/>
          <w:sz w:val="20"/>
          <w:szCs w:val="20"/>
        </w:rPr>
      </w:pPr>
      <w:r>
        <w:rPr>
          <w:rFonts w:ascii="Arial" w:hAnsi="Arial"/>
          <w:sz w:val="20"/>
          <w:szCs w:val="20"/>
        </w:rPr>
        <w:t>Abbildung 1: Engelmannscher Bakterienversuch und Wirkungsspektrum der Fotosynthese</w:t>
      </w:r>
    </w:p>
    <w:p>
      <w:pPr>
        <w:pStyle w:val="Berschrift3"/>
        <w:numPr>
          <w:ilvl w:val="2"/>
          <w:numId w:val="2"/>
        </w:numPr>
        <w:rPr>
          <w:rFonts w:ascii="Liberation Sans" w:hAnsi="Liberation Sans" w:eastAsia="Noto Sans CJK SC" w:cs="Lohit Devanagari"/>
          <w:b/>
          <w:b/>
          <w:bCs/>
          <w:i/>
          <w:i/>
          <w:iCs/>
          <w:sz w:val="24"/>
          <w:szCs w:val="24"/>
        </w:rPr>
      </w:pPr>
      <w:r>
        <w:rPr>
          <w:rFonts w:eastAsia="Noto Sans CJK SC" w:cs="Lohit Devanagari"/>
          <w:b/>
          <w:bCs/>
          <w:i/>
          <w:iCs/>
          <w:sz w:val="24"/>
          <w:szCs w:val="24"/>
        </w:rPr>
        <w:t>Aufgaben</w:t>
      </w:r>
    </w:p>
    <w:p>
      <w:pPr>
        <w:pStyle w:val="Textkrper"/>
        <w:numPr>
          <w:ilvl w:val="0"/>
          <w:numId w:val="5"/>
        </w:numPr>
        <w:rPr>
          <w:sz w:val="20"/>
          <w:szCs w:val="20"/>
        </w:rPr>
      </w:pPr>
      <w:r>
        <w:rPr>
          <w:sz w:val="20"/>
          <w:szCs w:val="20"/>
        </w:rPr>
        <w:t>Erklären Sie den Zusammenhang zwischen Fotosyntheserate und Sauerstoffkonzentration.</w:t>
        <w:br/>
      </w:r>
      <w:r>
        <w:rPr>
          <w:color w:val="CE181E"/>
          <w:sz w:val="20"/>
          <w:szCs w:val="20"/>
        </w:rPr>
        <w:t>Je nach Farbe des Lichts, das auf den Algenfaden trifft, wird mehr oder weniger Licht vom Chlorophyll absorbiert. Je mehr Licht absorbiert wird, desto mehr Energie steht für die Fotosynthese zur Verfügung. Je höher die Fotosyntheserate, desto mehr Sauerstoff als eins der Produkte der Fotosynthese wird an dieser Stelle produziert, also liegt dort eine höhere Sauerstoffkonzentration vor.</w:t>
      </w:r>
    </w:p>
    <w:p>
      <w:pPr>
        <w:pStyle w:val="Textkrper"/>
        <w:numPr>
          <w:ilvl w:val="0"/>
          <w:numId w:val="5"/>
        </w:numPr>
        <w:rPr>
          <w:sz w:val="20"/>
          <w:szCs w:val="20"/>
        </w:rPr>
      </w:pPr>
      <w:r>
        <w:rPr>
          <w:sz w:val="20"/>
          <w:szCs w:val="20"/>
        </w:rPr>
        <w:t>Zeichnen Sie die zu erwartende Verteilung der Bakterien am Algenfaden nach Projektion des Farbspektrums ein (ergänzen Sie weitere Bakterien).</w:t>
        <w:br/>
      </w:r>
      <w:r>
        <w:rPr>
          <w:color w:val="CE181E"/>
          <w:sz w:val="20"/>
          <w:szCs w:val="20"/>
        </w:rPr>
        <w:t>Siehe Abbildung</w:t>
      </w:r>
    </w:p>
    <w:p>
      <w:pPr>
        <w:pStyle w:val="Textkrper"/>
        <w:numPr>
          <w:ilvl w:val="0"/>
          <w:numId w:val="5"/>
        </w:numPr>
        <w:spacing w:before="0" w:after="140"/>
        <w:rPr/>
      </w:pPr>
      <w:r>
        <w:rPr>
          <w:sz w:val="20"/>
          <w:szCs w:val="20"/>
        </w:rPr>
        <w:t>Beschreiben Sie das Versuchsergebnis.</w:t>
        <w:br/>
      </w:r>
      <w:r>
        <w:rPr>
          <w:color w:val="CE181E"/>
          <w:sz w:val="20"/>
          <w:szCs w:val="20"/>
        </w:rPr>
        <w:t xml:space="preserve">Die Bakterien bewegen sich aktiv zu Orten mit hoher Sauerstoffkonzentration. Je nach Farbe des Lichts, das auf den Algenfaden trifft, produziert dieser mehr oder weniger Sauerstoff, worauf sich die Bakterien mehr oder weniger zahlreich an den betreffenden Stellen ansammeln. Die Anzahl der angesammelten Bakterien dient als ungefähres Maß für die Fotosyntheserate, die der Sauerstoffproduktionsrate entspricht. Der Versuch zeigt, dass die höchste Fotosyntheserate ungefähr mit den Bereichen der Absorptionsmaxima des Chlorophylls korreliert. </w:t>
      </w:r>
    </w:p>
    <w:sectPr>
      <w:footerReference w:type="default" r:id="rId4"/>
      <w:type w:val="nextPage"/>
      <w:pgSz w:w="12240" w:h="15840"/>
      <w:pgMar w:left="1134" w:right="1134" w:header="0" w:top="1134" w:footer="1134" w:bottom="1601"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Lohit Devanagari">
    <w:charset w:val="01"/>
    <w:family w:val="roman"/>
    <w:pitch w:val="variable"/>
  </w:font>
  <w:font w:name="Arial">
    <w:charset w:val="01"/>
    <w:family w:val="roman"/>
    <w:pitch w:val="variable"/>
  </w:font>
  <w:font w:name="Courier New">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2" w:space="1" w:color="000000"/>
      </w:pBdr>
      <w:tabs>
        <w:tab w:val="center" w:pos="4536" w:leader="none"/>
        <w:tab w:val="center" w:pos="4986" w:leader="none"/>
        <w:tab w:val="left" w:pos="8647" w:leader="none"/>
        <w:tab w:val="right" w:pos="9072" w:leader="none"/>
        <w:tab w:val="right" w:pos="9972" w:leader="none"/>
      </w:tabs>
      <w:jc w:val="left"/>
      <w:rPr/>
    </w:pPr>
    <w:r>
      <w:rPr>
        <w:rFonts w:ascii="Courier New" w:hAnsi="Courier New"/>
        <w:sz w:val="14"/>
        <w:szCs w:val="14"/>
      </w:rPr>
      <w:fldChar w:fldCharType="begin"/>
    </w:r>
    <w:r>
      <w:rPr>
        <w:sz w:val="14"/>
        <w:szCs w:val="14"/>
        <w:rFonts w:ascii="Courier New" w:hAnsi="Courier New"/>
      </w:rPr>
      <w:instrText> FILENAME </w:instrText>
    </w:r>
    <w:r>
      <w:rPr>
        <w:sz w:val="14"/>
        <w:szCs w:val="14"/>
        <w:rFonts w:ascii="Courier New" w:hAnsi="Courier New"/>
      </w:rPr>
      <w:fldChar w:fldCharType="separate"/>
    </w:r>
    <w:r>
      <w:rPr>
        <w:sz w:val="14"/>
        <w:szCs w:val="14"/>
        <w:rFonts w:ascii="Courier New" w:hAnsi="Courier New"/>
      </w:rPr>
      <w:t>20302_ab_wirkungsspektrum</w:t>
    </w:r>
    <w:r>
      <w:rPr>
        <w:sz w:val="14"/>
        <w:szCs w:val="14"/>
        <w:rFonts w:ascii="Courier New" w:hAnsi="Courier New"/>
      </w:rPr>
      <w:fldChar w:fldCharType="end"/>
    </w:r>
    <w:r>
      <w:rPr>
        <w:rFonts w:ascii="Courier New" w:hAnsi="Courier New"/>
        <w:sz w:val="14"/>
        <w:szCs w:val="14"/>
      </w:rPr>
      <w:t xml:space="preserve">                 </w:t>
    </w:r>
    <w:r>
      <w:rPr>
        <w:rFonts w:ascii="Courier New" w:hAnsi="Courier New"/>
        <w:sz w:val="14"/>
        <w:szCs w:val="14"/>
      </w:rPr>
      <w:t>ZPG Biologie 2020</w:t>
      <w:tab/>
      <w:tab/>
      <w:tab/>
      <w:t xml:space="preserve">Seite </w:t>
    </w:r>
    <w:r>
      <w:rPr>
        <w:rFonts w:ascii="Courier New" w:hAnsi="Courier New"/>
        <w:sz w:val="14"/>
        <w:szCs w:val="14"/>
      </w:rPr>
      <w:fldChar w:fldCharType="begin"/>
    </w:r>
    <w:r>
      <w:rPr>
        <w:sz w:val="14"/>
        <w:szCs w:val="14"/>
        <w:rFonts w:ascii="Courier New" w:hAnsi="Courier New"/>
      </w:rPr>
      <w:instrText> PAGE </w:instrText>
    </w:r>
    <w:r>
      <w:rPr>
        <w:sz w:val="14"/>
        <w:szCs w:val="14"/>
        <w:rFonts w:ascii="Courier New" w:hAnsi="Courier New"/>
      </w:rPr>
      <w:fldChar w:fldCharType="separate"/>
    </w:r>
    <w:r>
      <w:rPr>
        <w:sz w:val="14"/>
        <w:szCs w:val="14"/>
        <w:rFonts w:ascii="Courier New" w:hAnsi="Courier New"/>
      </w:rPr>
      <w:t>4</w:t>
    </w:r>
    <w:r>
      <w:rPr>
        <w:sz w:val="14"/>
        <w:szCs w:val="14"/>
        <w:rFonts w:ascii="Courier New" w:hAnsi="Courier New"/>
      </w:rPr>
      <w:fldChar w:fldCharType="end"/>
    </w:r>
    <w:r>
      <w:rPr>
        <w:rFonts w:ascii="Courier New" w:hAnsi="Courier New"/>
        <w:sz w:val="14"/>
        <w:szCs w:val="14"/>
      </w:rPr>
      <w:t xml:space="preserve"> von </w:t>
    </w:r>
    <w:r>
      <w:rPr>
        <w:rFonts w:ascii="Courier New" w:hAnsi="Courier New"/>
        <w:sz w:val="14"/>
        <w:szCs w:val="14"/>
      </w:rPr>
      <w:fldChar w:fldCharType="begin"/>
    </w:r>
    <w:r>
      <w:rPr>
        <w:sz w:val="14"/>
        <w:szCs w:val="14"/>
        <w:rFonts w:ascii="Courier New" w:hAnsi="Courier New"/>
      </w:rPr>
      <w:instrText> NUMPAGES </w:instrText>
    </w:r>
    <w:r>
      <w:rPr>
        <w:sz w:val="14"/>
        <w:szCs w:val="14"/>
        <w:rFonts w:ascii="Courier New" w:hAnsi="Courier New"/>
      </w:rPr>
      <w:fldChar w:fldCharType="separate"/>
    </w:r>
    <w:r>
      <w:rPr>
        <w:sz w:val="14"/>
        <w:szCs w:val="14"/>
        <w:rFonts w:ascii="Courier New" w:hAnsi="Courier New"/>
      </w:rPr>
      <w:t>4</w:t>
    </w:r>
    <w:r>
      <w:rPr>
        <w:sz w:val="14"/>
        <w:szCs w:val="14"/>
        <w:rFonts w:ascii="Courier New" w:hAnsi="Courier New"/>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Berschrift1"/>
      <w:numFmt w:val="none"/>
      <w:suff w:val="nothing"/>
      <w:lvlText w:val=""/>
      <w:lvlJc w:val="left"/>
      <w:pPr>
        <w:ind w:left="0" w:hanging="0"/>
      </w:pPr>
    </w:lvl>
    <w:lvl w:ilvl="1">
      <w:start w:val="1"/>
      <w:pStyle w:val="Berschrift2"/>
      <w:numFmt w:val="none"/>
      <w:suff w:val="nothing"/>
      <w:lvlText w:val=""/>
      <w:lvlJc w:val="left"/>
      <w:pPr>
        <w:ind w:left="0" w:hanging="0"/>
      </w:pPr>
    </w:lvl>
    <w:lvl w:ilvl="2">
      <w:start w:val="1"/>
      <w:pStyle w:val="Berschrift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4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de-DE" w:eastAsia="zh-CN" w:bidi="hi-IN"/>
      </w:rPr>
    </w:rPrDefault>
    <w:pPrDefault>
      <w:pPr/>
    </w:pPrDefault>
  </w:docDefaults>
  <w:style w:type="paragraph" w:styleId="Normal">
    <w:name w:val="Normal"/>
    <w:qFormat/>
    <w:pPr>
      <w:widowControl/>
      <w:overflowPunct w:val="false"/>
      <w:bidi w:val="0"/>
      <w:jc w:val="left"/>
    </w:pPr>
    <w:rPr>
      <w:rFonts w:ascii="Liberation Serif" w:hAnsi="Liberation Serif" w:eastAsia="Noto Sans CJK SC" w:cs="Lohit Devanagari"/>
      <w:color w:val="auto"/>
      <w:kern w:val="2"/>
      <w:sz w:val="24"/>
      <w:szCs w:val="24"/>
      <w:lang w:val="de-DE" w:eastAsia="zh-CN" w:bidi="hi-IN"/>
    </w:rPr>
  </w:style>
  <w:style w:type="paragraph" w:styleId="Berschrift1">
    <w:name w:val="Heading 1"/>
    <w:basedOn w:val="Berschrift"/>
    <w:qFormat/>
    <w:pPr>
      <w:numPr>
        <w:ilvl w:val="0"/>
        <w:numId w:val="1"/>
      </w:numPr>
      <w:spacing w:before="240" w:after="120"/>
      <w:outlineLvl w:val="0"/>
    </w:pPr>
    <w:rPr>
      <w:b/>
      <w:bCs/>
      <w:sz w:val="36"/>
      <w:szCs w:val="36"/>
    </w:rPr>
  </w:style>
  <w:style w:type="paragraph" w:styleId="Berschrift2">
    <w:name w:val="Heading 2"/>
    <w:basedOn w:val="Berschrift"/>
    <w:qFormat/>
    <w:pPr>
      <w:numPr>
        <w:ilvl w:val="1"/>
        <w:numId w:val="1"/>
      </w:numPr>
      <w:spacing w:before="200" w:after="120"/>
      <w:outlineLvl w:val="1"/>
    </w:pPr>
    <w:rPr>
      <w:b/>
      <w:bCs/>
      <w:sz w:val="32"/>
      <w:szCs w:val="32"/>
    </w:rPr>
  </w:style>
  <w:style w:type="paragraph" w:styleId="Berschrift3">
    <w:name w:val="Heading 3"/>
    <w:basedOn w:val="Berschrift"/>
    <w:qFormat/>
    <w:pPr>
      <w:numPr>
        <w:ilvl w:val="2"/>
        <w:numId w:val="1"/>
      </w:numPr>
      <w:spacing w:before="140" w:after="120"/>
      <w:outlineLvl w:val="2"/>
    </w:pPr>
    <w:rPr>
      <w:b/>
      <w:bCs/>
      <w:sz w:val="28"/>
      <w:szCs w:val="28"/>
    </w:rPr>
  </w:style>
  <w:style w:type="character" w:styleId="Nummerierungszeichen">
    <w:name w:val="Nummerierungszeichen"/>
    <w:qFormat/>
    <w:rPr/>
  </w:style>
  <w:style w:type="character" w:styleId="Internetverknpfung">
    <w:name w:val="Internetverknüpfung"/>
    <w:rPr>
      <w:color w:val="000080"/>
      <w:u w:val="single"/>
      <w:lang w:val="zxx" w:eastAsia="zxx" w:bidi="zxx"/>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ObjektmitPfeilspitze">
    <w:name w:val="Objekt mit Pfeilspitze"/>
    <w:basedOn w:val="Normal"/>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ktmitSchatten">
    <w:name w:val="Objekt mit Schatten"/>
    <w:basedOn w:val="Normal"/>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ktohneFllung">
    <w:name w:val="Objekt ohne Füllung"/>
    <w:basedOn w:val="Normal"/>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ktohneFllungundLinie">
    <w:name w:val="Objekt ohne Füllung und Linie"/>
    <w:basedOn w:val="Normal"/>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TextkrperBlocksatz">
    <w:name w:val="Textkörper Blocksatz"/>
    <w:basedOn w:val="Normal"/>
    <w:qFormat/>
    <w:pPr>
      <w:spacing w:lineRule="atLeast" w:line="200" w:before="0" w:after="0"/>
      <w:jc w:val="left"/>
    </w:pPr>
    <w:rPr>
      <w:rFonts w:ascii="Lohit Devanagari" w:hAnsi="Lohit Devanagari"/>
      <w:b w:val="false"/>
      <w:i w:val="false"/>
      <w:strike w:val="false"/>
      <w:dstrike w:val="false"/>
      <w:outline w:val="false"/>
      <w:shadow w:val="false"/>
      <w:color w:val="000000"/>
      <w:kern w:val="2"/>
      <w:sz w:val="36"/>
      <w:u w:val="none"/>
      <w:em w:val="none"/>
    </w:rPr>
  </w:style>
  <w:style w:type="paragraph" w:styleId="Titel1">
    <w:name w:val="Titel 1"/>
    <w:basedOn w:val="Normal"/>
    <w:qFormat/>
    <w:pPr>
      <w:spacing w:lineRule="atLeast" w:line="200" w:before="0" w:after="0"/>
      <w:jc w:val="center"/>
    </w:pPr>
    <w:rPr>
      <w:rFonts w:ascii="Lohit Devanagari" w:hAnsi="Lohit Devanagari"/>
      <w:b w:val="false"/>
      <w:i w:val="false"/>
      <w:strike w:val="false"/>
      <w:dstrike w:val="false"/>
      <w:outline w:val="false"/>
      <w:shadow w:val="false"/>
      <w:color w:val="000000"/>
      <w:kern w:val="2"/>
      <w:sz w:val="36"/>
      <w:u w:val="none"/>
      <w:em w:val="none"/>
    </w:rPr>
  </w:style>
  <w:style w:type="paragraph" w:styleId="Titel2">
    <w:name w:val="Titel 2"/>
    <w:basedOn w:val="Normal"/>
    <w:qFormat/>
    <w:pPr>
      <w:spacing w:lineRule="atLeast" w:line="200" w:before="57" w:after="57"/>
      <w:ind w:left="0" w:right="113" w:hanging="0"/>
      <w:jc w:val="center"/>
    </w:pPr>
    <w:rPr>
      <w:rFonts w:ascii="Lohit Devanagari" w:hAnsi="Lohit Devanagari"/>
      <w:b w:val="false"/>
      <w:i w:val="false"/>
      <w:strike w:val="false"/>
      <w:dstrike w:val="false"/>
      <w:outline w:val="false"/>
      <w:shadow w:val="false"/>
      <w:color w:val="000000"/>
      <w:kern w:val="2"/>
      <w:sz w:val="36"/>
      <w:u w:val="none"/>
      <w:em w:val="none"/>
    </w:rPr>
  </w:style>
  <w:style w:type="paragraph" w:styleId="Malinie">
    <w:name w:val="Maßlinie"/>
    <w:basedOn w:val="Normal"/>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StandardLTGliederung1">
    <w:name w:val="Standard~LT~Gliederung 1"/>
    <w:qFormat/>
    <w:pPr>
      <w:widowControl/>
      <w:overflowPunct w:val="false"/>
      <w:bidi w:val="0"/>
      <w:spacing w:before="283" w:after="0"/>
      <w:jc w:val="left"/>
    </w:pPr>
    <w:rPr>
      <w:rFonts w:ascii="Lohit Devanagari" w:hAnsi="Lohit Devanagari" w:eastAsia="DejaVu Sans" w:cs="Liberation Sans"/>
      <w:b w:val="false"/>
      <w:i w:val="false"/>
      <w:strike w:val="false"/>
      <w:dstrike w:val="false"/>
      <w:outline w:val="false"/>
      <w:shadow w:val="false"/>
      <w:color w:val="000000"/>
      <w:kern w:val="2"/>
      <w:sz w:val="63"/>
      <w:szCs w:val="24"/>
      <w:u w:val="none"/>
      <w:em w:val="none"/>
      <w:lang w:val="de-DE" w:eastAsia="zh-CN" w:bidi="hi-IN"/>
    </w:rPr>
  </w:style>
  <w:style w:type="paragraph" w:styleId="StandardLTGliederung2">
    <w:name w:val="Standard~LT~Gliederung 2"/>
    <w:basedOn w:val="StandardLTGliederung1"/>
    <w:qFormat/>
    <w:pPr>
      <w:spacing w:before="227" w:after="0"/>
    </w:pPr>
    <w:rPr>
      <w:rFonts w:ascii="Lohit Devanagari" w:hAnsi="Lohit Devanagari"/>
      <w:b w:val="false"/>
      <w:i w:val="false"/>
      <w:strike w:val="false"/>
      <w:dstrike w:val="false"/>
      <w:outline w:val="false"/>
      <w:shadow w:val="false"/>
      <w:color w:val="000000"/>
      <w:kern w:val="2"/>
      <w:sz w:val="56"/>
      <w:u w:val="none"/>
      <w:em w:val="none"/>
    </w:rPr>
  </w:style>
  <w:style w:type="paragraph" w:styleId="StandardLTGliederung3">
    <w:name w:val="Standard~LT~Gliederung 3"/>
    <w:basedOn w:val="StandardLTGliederung2"/>
    <w:qFormat/>
    <w:pPr>
      <w:spacing w:before="170" w:after="0"/>
    </w:pPr>
    <w:rPr>
      <w:rFonts w:ascii="Lohit Devanagari" w:hAnsi="Lohit Devanagari"/>
      <w:b w:val="false"/>
      <w:i w:val="false"/>
      <w:strike w:val="false"/>
      <w:dstrike w:val="false"/>
      <w:outline w:val="false"/>
      <w:shadow w:val="false"/>
      <w:color w:val="000000"/>
      <w:kern w:val="2"/>
      <w:sz w:val="48"/>
      <w:u w:val="none"/>
      <w:em w:val="none"/>
    </w:rPr>
  </w:style>
  <w:style w:type="paragraph" w:styleId="StandardLTGliederung4">
    <w:name w:val="Standard~LT~Gliederung 4"/>
    <w:basedOn w:val="StandardLTGliederung3"/>
    <w:qFormat/>
    <w:pPr>
      <w:spacing w:before="113"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Gliederung5">
    <w:name w:val="Standard~LT~Gliederung 5"/>
    <w:basedOn w:val="StandardLTGliederung4"/>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Gliederung6">
    <w:name w:val="Standard~LT~Gliederung 6"/>
    <w:basedOn w:val="StandardLTGliederung5"/>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Gliederung7">
    <w:name w:val="Standard~LT~Gliederung 7"/>
    <w:basedOn w:val="StandardLTGliederung6"/>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Gliederung8">
    <w:name w:val="Standard~LT~Gliederung 8"/>
    <w:basedOn w:val="StandardLTGliederung7"/>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Gliederung9">
    <w:name w:val="Standard~LT~Gliederung 9"/>
    <w:basedOn w:val="StandardLTGliederung8"/>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Titel">
    <w:name w:val="Standard~LT~Titel"/>
    <w:qFormat/>
    <w:pPr>
      <w:widowControl/>
      <w:overflowPunct w:val="false"/>
      <w:bidi w:val="0"/>
      <w:jc w:val="center"/>
    </w:pPr>
    <w:rPr>
      <w:rFonts w:ascii="Lohit Devanagari" w:hAnsi="Lohit Devanagari" w:eastAsia="DejaVu Sans" w:cs="Liberation Sans"/>
      <w:b w:val="false"/>
      <w:i w:val="false"/>
      <w:strike w:val="false"/>
      <w:dstrike w:val="false"/>
      <w:outline w:val="false"/>
      <w:shadow w:val="false"/>
      <w:color w:val="000000"/>
      <w:kern w:val="2"/>
      <w:sz w:val="88"/>
      <w:szCs w:val="24"/>
      <w:u w:val="none"/>
      <w:em w:val="none"/>
      <w:lang w:val="de-DE" w:eastAsia="zh-CN" w:bidi="hi-IN"/>
    </w:rPr>
  </w:style>
  <w:style w:type="paragraph" w:styleId="StandardLTUntertitel">
    <w:name w:val="Standard~LT~Untertitel"/>
    <w:qFormat/>
    <w:pPr>
      <w:widowControl/>
      <w:overflowPunct w:val="false"/>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de-DE" w:eastAsia="zh-CN" w:bidi="hi-IN"/>
    </w:rPr>
  </w:style>
  <w:style w:type="paragraph" w:styleId="StandardLTNotizen">
    <w:name w:val="Standard~LT~Notizen"/>
    <w:qFormat/>
    <w:pPr>
      <w:widowControl/>
      <w:overflowPunct w:val="false"/>
      <w:bidi w:val="0"/>
      <w:ind w:left="340" w:right="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de-DE" w:eastAsia="zh-CN" w:bidi="hi-IN"/>
    </w:rPr>
  </w:style>
  <w:style w:type="paragraph" w:styleId="StandardLTHintergrundobjekte">
    <w:name w:val="Standard~LT~Hintergrundobjekte"/>
    <w:qFormat/>
    <w:pPr>
      <w:widowControl/>
      <w:overflowPunct w:val="false"/>
      <w:bidi w:val="0"/>
      <w:jc w:val="left"/>
    </w:pPr>
    <w:rPr>
      <w:rFonts w:ascii="Liberation Serif" w:hAnsi="Liberation Serif" w:eastAsia="DejaVu Sans" w:cs="Liberation Sans"/>
      <w:color w:val="auto"/>
      <w:kern w:val="2"/>
      <w:sz w:val="24"/>
      <w:szCs w:val="24"/>
      <w:lang w:val="de-DE" w:eastAsia="zh-CN" w:bidi="hi-IN"/>
    </w:rPr>
  </w:style>
  <w:style w:type="paragraph" w:styleId="StandardLTHintergrund">
    <w:name w:val="Standard~LT~Hintergrund"/>
    <w:qFormat/>
    <w:pPr>
      <w:widowControl/>
      <w:overflowPunct w:val="false"/>
      <w:bidi w:val="0"/>
      <w:jc w:val="left"/>
    </w:pPr>
    <w:rPr>
      <w:rFonts w:ascii="Liberation Serif" w:hAnsi="Liberation Serif" w:eastAsia="DejaVu Sans" w:cs="Liberation Sans"/>
      <w:color w:val="auto"/>
      <w:kern w:val="2"/>
      <w:sz w:val="24"/>
      <w:szCs w:val="24"/>
      <w:lang w:val="de-DE" w:eastAsia="zh-CN" w:bidi="hi-IN"/>
    </w:rPr>
  </w:style>
  <w:style w:type="paragraph" w:styleId="Default">
    <w:name w:val="default"/>
    <w:qFormat/>
    <w:pPr>
      <w:widowControl/>
      <w:overflowPunct w:val="false"/>
      <w:bidi w:val="0"/>
      <w:spacing w:lineRule="atLeast" w:line="200" w:before="0" w:after="0"/>
      <w:jc w:val="left"/>
    </w:pPr>
    <w:rPr>
      <w:rFonts w:ascii="Lohit Devanagari" w:hAnsi="Lohit Devanagari" w:eastAsia="DejaVu Sans" w:cs="Liberation Sans"/>
      <w:color w:val="000000"/>
      <w:kern w:val="2"/>
      <w:sz w:val="36"/>
      <w:szCs w:val="24"/>
      <w:lang w:val="de-DE" w:eastAsia="zh-CN" w:bidi="hi-IN"/>
    </w:rPr>
  </w:style>
  <w:style w:type="paragraph" w:styleId="Gray1">
    <w:name w:val="gray1"/>
    <w:basedOn w:val="Default"/>
    <w:qFormat/>
    <w:pPr>
      <w:spacing w:lineRule="atLeast" w:line="200" w:before="0" w:after="0"/>
    </w:pPr>
    <w:rPr>
      <w:rFonts w:ascii="Lohit Devanagari" w:hAnsi="Lohit Devanagari"/>
      <w:color w:val="000000"/>
      <w:kern w:val="2"/>
      <w:sz w:val="36"/>
    </w:rPr>
  </w:style>
  <w:style w:type="paragraph" w:styleId="Gray2">
    <w:name w:val="gray2"/>
    <w:basedOn w:val="Default"/>
    <w:qFormat/>
    <w:pPr>
      <w:spacing w:lineRule="atLeast" w:line="200" w:before="0" w:after="0"/>
    </w:pPr>
    <w:rPr>
      <w:rFonts w:ascii="Lohit Devanagari" w:hAnsi="Lohit Devanagari"/>
      <w:color w:val="000000"/>
      <w:kern w:val="2"/>
      <w:sz w:val="36"/>
    </w:rPr>
  </w:style>
  <w:style w:type="paragraph" w:styleId="Gray3">
    <w:name w:val="gray3"/>
    <w:basedOn w:val="Default"/>
    <w:qFormat/>
    <w:pPr>
      <w:spacing w:lineRule="atLeast" w:line="200" w:before="0" w:after="0"/>
    </w:pPr>
    <w:rPr>
      <w:rFonts w:ascii="Lohit Devanagari" w:hAnsi="Lohit Devanagari"/>
      <w:color w:val="000000"/>
      <w:kern w:val="2"/>
      <w:sz w:val="36"/>
    </w:rPr>
  </w:style>
  <w:style w:type="paragraph" w:styleId="Bw1">
    <w:name w:val="bw1"/>
    <w:basedOn w:val="Default"/>
    <w:qFormat/>
    <w:pPr>
      <w:spacing w:lineRule="atLeast" w:line="200" w:before="0" w:after="0"/>
    </w:pPr>
    <w:rPr>
      <w:rFonts w:ascii="Lohit Devanagari" w:hAnsi="Lohit Devanagari"/>
      <w:color w:val="000000"/>
      <w:kern w:val="2"/>
      <w:sz w:val="36"/>
    </w:rPr>
  </w:style>
  <w:style w:type="paragraph" w:styleId="Bw2">
    <w:name w:val="bw2"/>
    <w:basedOn w:val="Default"/>
    <w:qFormat/>
    <w:pPr>
      <w:spacing w:lineRule="atLeast" w:line="200" w:before="0" w:after="0"/>
    </w:pPr>
    <w:rPr>
      <w:rFonts w:ascii="Lohit Devanagari" w:hAnsi="Lohit Devanagari"/>
      <w:color w:val="000000"/>
      <w:kern w:val="2"/>
      <w:sz w:val="36"/>
    </w:rPr>
  </w:style>
  <w:style w:type="paragraph" w:styleId="Bw3">
    <w:name w:val="bw3"/>
    <w:basedOn w:val="Default"/>
    <w:qFormat/>
    <w:pPr>
      <w:spacing w:lineRule="atLeast" w:line="200" w:before="0" w:after="0"/>
    </w:pPr>
    <w:rPr>
      <w:rFonts w:ascii="Lohit Devanagari" w:hAnsi="Lohit Devanagari"/>
      <w:color w:val="000000"/>
      <w:kern w:val="2"/>
      <w:sz w:val="36"/>
    </w:rPr>
  </w:style>
  <w:style w:type="paragraph" w:styleId="Orange1">
    <w:name w:val="orange1"/>
    <w:basedOn w:val="Default"/>
    <w:qFormat/>
    <w:pPr>
      <w:spacing w:lineRule="atLeast" w:line="200" w:before="0" w:after="0"/>
    </w:pPr>
    <w:rPr>
      <w:rFonts w:ascii="Lohit Devanagari" w:hAnsi="Lohit Devanagari"/>
      <w:color w:val="000000"/>
      <w:kern w:val="2"/>
      <w:sz w:val="36"/>
    </w:rPr>
  </w:style>
  <w:style w:type="paragraph" w:styleId="Orange2">
    <w:name w:val="orange2"/>
    <w:basedOn w:val="Default"/>
    <w:qFormat/>
    <w:pPr>
      <w:spacing w:lineRule="atLeast" w:line="200" w:before="0" w:after="0"/>
    </w:pPr>
    <w:rPr>
      <w:rFonts w:ascii="Lohit Devanagari" w:hAnsi="Lohit Devanagari"/>
      <w:color w:val="000000"/>
      <w:kern w:val="2"/>
      <w:sz w:val="36"/>
    </w:rPr>
  </w:style>
  <w:style w:type="paragraph" w:styleId="Orange3">
    <w:name w:val="orange3"/>
    <w:basedOn w:val="Default"/>
    <w:qFormat/>
    <w:pPr>
      <w:spacing w:lineRule="atLeast" w:line="200" w:before="0" w:after="0"/>
    </w:pPr>
    <w:rPr>
      <w:rFonts w:ascii="Lohit Devanagari" w:hAnsi="Lohit Devanagari"/>
      <w:color w:val="000000"/>
      <w:kern w:val="2"/>
      <w:sz w:val="36"/>
    </w:rPr>
  </w:style>
  <w:style w:type="paragraph" w:styleId="Turquoise1">
    <w:name w:val="turquoise1"/>
    <w:basedOn w:val="Default"/>
    <w:qFormat/>
    <w:pPr>
      <w:spacing w:lineRule="atLeast" w:line="200" w:before="0" w:after="0"/>
    </w:pPr>
    <w:rPr>
      <w:rFonts w:ascii="Lohit Devanagari" w:hAnsi="Lohit Devanagari"/>
      <w:color w:val="000000"/>
      <w:kern w:val="2"/>
      <w:sz w:val="36"/>
    </w:rPr>
  </w:style>
  <w:style w:type="paragraph" w:styleId="Turquoise2">
    <w:name w:val="turquoise2"/>
    <w:basedOn w:val="Default"/>
    <w:qFormat/>
    <w:pPr>
      <w:spacing w:lineRule="atLeast" w:line="200" w:before="0" w:after="0"/>
    </w:pPr>
    <w:rPr>
      <w:rFonts w:ascii="Lohit Devanagari" w:hAnsi="Lohit Devanagari"/>
      <w:color w:val="000000"/>
      <w:kern w:val="2"/>
      <w:sz w:val="36"/>
    </w:rPr>
  </w:style>
  <w:style w:type="paragraph" w:styleId="Turquoise3">
    <w:name w:val="turquoise3"/>
    <w:basedOn w:val="Default"/>
    <w:qFormat/>
    <w:pPr>
      <w:spacing w:lineRule="atLeast" w:line="200" w:before="0" w:after="0"/>
    </w:pPr>
    <w:rPr>
      <w:rFonts w:ascii="Lohit Devanagari" w:hAnsi="Lohit Devanagari"/>
      <w:color w:val="000000"/>
      <w:kern w:val="2"/>
      <w:sz w:val="36"/>
    </w:rPr>
  </w:style>
  <w:style w:type="paragraph" w:styleId="Blue1">
    <w:name w:val="blue1"/>
    <w:basedOn w:val="Default"/>
    <w:qFormat/>
    <w:pPr>
      <w:spacing w:lineRule="atLeast" w:line="200" w:before="0" w:after="0"/>
    </w:pPr>
    <w:rPr>
      <w:rFonts w:ascii="Lohit Devanagari" w:hAnsi="Lohit Devanagari"/>
      <w:color w:val="000000"/>
      <w:kern w:val="2"/>
      <w:sz w:val="36"/>
    </w:rPr>
  </w:style>
  <w:style w:type="paragraph" w:styleId="Blue2">
    <w:name w:val="blue2"/>
    <w:basedOn w:val="Default"/>
    <w:qFormat/>
    <w:pPr>
      <w:spacing w:lineRule="atLeast" w:line="200" w:before="0" w:after="0"/>
    </w:pPr>
    <w:rPr>
      <w:rFonts w:ascii="Lohit Devanagari" w:hAnsi="Lohit Devanagari"/>
      <w:color w:val="000000"/>
      <w:kern w:val="2"/>
      <w:sz w:val="36"/>
    </w:rPr>
  </w:style>
  <w:style w:type="paragraph" w:styleId="Blue3">
    <w:name w:val="blue3"/>
    <w:basedOn w:val="Default"/>
    <w:qFormat/>
    <w:pPr>
      <w:spacing w:lineRule="atLeast" w:line="200" w:before="0" w:after="0"/>
    </w:pPr>
    <w:rPr>
      <w:rFonts w:ascii="Lohit Devanagari" w:hAnsi="Lohit Devanagari"/>
      <w:color w:val="000000"/>
      <w:kern w:val="2"/>
      <w:sz w:val="36"/>
    </w:rPr>
  </w:style>
  <w:style w:type="paragraph" w:styleId="Sun1">
    <w:name w:val="sun1"/>
    <w:basedOn w:val="Default"/>
    <w:qFormat/>
    <w:pPr>
      <w:spacing w:lineRule="atLeast" w:line="200" w:before="0" w:after="0"/>
    </w:pPr>
    <w:rPr>
      <w:rFonts w:ascii="Lohit Devanagari" w:hAnsi="Lohit Devanagari"/>
      <w:color w:val="000000"/>
      <w:kern w:val="2"/>
      <w:sz w:val="36"/>
    </w:rPr>
  </w:style>
  <w:style w:type="paragraph" w:styleId="Sun2">
    <w:name w:val="sun2"/>
    <w:basedOn w:val="Default"/>
    <w:qFormat/>
    <w:pPr>
      <w:spacing w:lineRule="atLeast" w:line="200" w:before="0" w:after="0"/>
    </w:pPr>
    <w:rPr>
      <w:rFonts w:ascii="Lohit Devanagari" w:hAnsi="Lohit Devanagari"/>
      <w:color w:val="000000"/>
      <w:kern w:val="2"/>
      <w:sz w:val="36"/>
    </w:rPr>
  </w:style>
  <w:style w:type="paragraph" w:styleId="Sun3">
    <w:name w:val="sun3"/>
    <w:basedOn w:val="Default"/>
    <w:qFormat/>
    <w:pPr>
      <w:spacing w:lineRule="atLeast" w:line="200" w:before="0" w:after="0"/>
    </w:pPr>
    <w:rPr>
      <w:rFonts w:ascii="Lohit Devanagari" w:hAnsi="Lohit Devanagari"/>
      <w:color w:val="000000"/>
      <w:kern w:val="2"/>
      <w:sz w:val="36"/>
    </w:rPr>
  </w:style>
  <w:style w:type="paragraph" w:styleId="Earth1">
    <w:name w:val="earth1"/>
    <w:basedOn w:val="Default"/>
    <w:qFormat/>
    <w:pPr>
      <w:spacing w:lineRule="atLeast" w:line="200" w:before="0" w:after="0"/>
    </w:pPr>
    <w:rPr>
      <w:rFonts w:ascii="Lohit Devanagari" w:hAnsi="Lohit Devanagari"/>
      <w:color w:val="000000"/>
      <w:kern w:val="2"/>
      <w:sz w:val="36"/>
    </w:rPr>
  </w:style>
  <w:style w:type="paragraph" w:styleId="Earth2">
    <w:name w:val="earth2"/>
    <w:basedOn w:val="Default"/>
    <w:qFormat/>
    <w:pPr>
      <w:spacing w:lineRule="atLeast" w:line="200" w:before="0" w:after="0"/>
    </w:pPr>
    <w:rPr>
      <w:rFonts w:ascii="Lohit Devanagari" w:hAnsi="Lohit Devanagari"/>
      <w:color w:val="000000"/>
      <w:kern w:val="2"/>
      <w:sz w:val="36"/>
    </w:rPr>
  </w:style>
  <w:style w:type="paragraph" w:styleId="Earth3">
    <w:name w:val="earth3"/>
    <w:basedOn w:val="Default"/>
    <w:qFormat/>
    <w:pPr>
      <w:spacing w:lineRule="atLeast" w:line="200" w:before="0" w:after="0"/>
    </w:pPr>
    <w:rPr>
      <w:rFonts w:ascii="Lohit Devanagari" w:hAnsi="Lohit Devanagari"/>
      <w:color w:val="000000"/>
      <w:kern w:val="2"/>
      <w:sz w:val="36"/>
    </w:rPr>
  </w:style>
  <w:style w:type="paragraph" w:styleId="Green1">
    <w:name w:val="green1"/>
    <w:basedOn w:val="Default"/>
    <w:qFormat/>
    <w:pPr>
      <w:spacing w:lineRule="atLeast" w:line="200" w:before="0" w:after="0"/>
    </w:pPr>
    <w:rPr>
      <w:rFonts w:ascii="Lohit Devanagari" w:hAnsi="Lohit Devanagari"/>
      <w:color w:val="000000"/>
      <w:kern w:val="2"/>
      <w:sz w:val="36"/>
    </w:rPr>
  </w:style>
  <w:style w:type="paragraph" w:styleId="Green2">
    <w:name w:val="green2"/>
    <w:basedOn w:val="Default"/>
    <w:qFormat/>
    <w:pPr>
      <w:spacing w:lineRule="atLeast" w:line="200" w:before="0" w:after="0"/>
    </w:pPr>
    <w:rPr>
      <w:rFonts w:ascii="Lohit Devanagari" w:hAnsi="Lohit Devanagari"/>
      <w:color w:val="000000"/>
      <w:kern w:val="2"/>
      <w:sz w:val="36"/>
    </w:rPr>
  </w:style>
  <w:style w:type="paragraph" w:styleId="Green3">
    <w:name w:val="green3"/>
    <w:basedOn w:val="Default"/>
    <w:qFormat/>
    <w:pPr>
      <w:spacing w:lineRule="atLeast" w:line="200" w:before="0" w:after="0"/>
    </w:pPr>
    <w:rPr>
      <w:rFonts w:ascii="Lohit Devanagari" w:hAnsi="Lohit Devanagari"/>
      <w:color w:val="000000"/>
      <w:kern w:val="2"/>
      <w:sz w:val="36"/>
    </w:rPr>
  </w:style>
  <w:style w:type="paragraph" w:styleId="Seetang1">
    <w:name w:val="seetang1"/>
    <w:basedOn w:val="Default"/>
    <w:qFormat/>
    <w:pPr>
      <w:spacing w:lineRule="atLeast" w:line="200" w:before="0" w:after="0"/>
    </w:pPr>
    <w:rPr>
      <w:rFonts w:ascii="Lohit Devanagari" w:hAnsi="Lohit Devanagari"/>
      <w:color w:val="000000"/>
      <w:kern w:val="2"/>
      <w:sz w:val="36"/>
    </w:rPr>
  </w:style>
  <w:style w:type="paragraph" w:styleId="Seetang2">
    <w:name w:val="seetang2"/>
    <w:basedOn w:val="Default"/>
    <w:qFormat/>
    <w:pPr>
      <w:spacing w:lineRule="atLeast" w:line="200" w:before="0" w:after="0"/>
    </w:pPr>
    <w:rPr>
      <w:rFonts w:ascii="Lohit Devanagari" w:hAnsi="Lohit Devanagari"/>
      <w:color w:val="000000"/>
      <w:kern w:val="2"/>
      <w:sz w:val="36"/>
    </w:rPr>
  </w:style>
  <w:style w:type="paragraph" w:styleId="Seetang3">
    <w:name w:val="seetang3"/>
    <w:basedOn w:val="Default"/>
    <w:qFormat/>
    <w:pPr>
      <w:spacing w:lineRule="atLeast" w:line="200" w:before="0" w:after="0"/>
    </w:pPr>
    <w:rPr>
      <w:rFonts w:ascii="Lohit Devanagari" w:hAnsi="Lohit Devanagari"/>
      <w:color w:val="000000"/>
      <w:kern w:val="2"/>
      <w:sz w:val="36"/>
    </w:rPr>
  </w:style>
  <w:style w:type="paragraph" w:styleId="Lightblue1">
    <w:name w:val="lightblue1"/>
    <w:basedOn w:val="Default"/>
    <w:qFormat/>
    <w:pPr>
      <w:spacing w:lineRule="atLeast" w:line="200" w:before="0" w:after="0"/>
    </w:pPr>
    <w:rPr>
      <w:rFonts w:ascii="Lohit Devanagari" w:hAnsi="Lohit Devanagari"/>
      <w:color w:val="000000"/>
      <w:kern w:val="2"/>
      <w:sz w:val="36"/>
    </w:rPr>
  </w:style>
  <w:style w:type="paragraph" w:styleId="Lightblue2">
    <w:name w:val="lightblue2"/>
    <w:basedOn w:val="Default"/>
    <w:qFormat/>
    <w:pPr>
      <w:spacing w:lineRule="atLeast" w:line="200" w:before="0" w:after="0"/>
    </w:pPr>
    <w:rPr>
      <w:rFonts w:ascii="Lohit Devanagari" w:hAnsi="Lohit Devanagari"/>
      <w:color w:val="000000"/>
      <w:kern w:val="2"/>
      <w:sz w:val="36"/>
    </w:rPr>
  </w:style>
  <w:style w:type="paragraph" w:styleId="Lightblue3">
    <w:name w:val="lightblue3"/>
    <w:basedOn w:val="Default"/>
    <w:qFormat/>
    <w:pPr>
      <w:spacing w:lineRule="atLeast" w:line="200" w:before="0" w:after="0"/>
    </w:pPr>
    <w:rPr>
      <w:rFonts w:ascii="Lohit Devanagari" w:hAnsi="Lohit Devanagari"/>
      <w:color w:val="000000"/>
      <w:kern w:val="2"/>
      <w:sz w:val="36"/>
    </w:rPr>
  </w:style>
  <w:style w:type="paragraph" w:styleId="Yellow1">
    <w:name w:val="yellow1"/>
    <w:basedOn w:val="Default"/>
    <w:qFormat/>
    <w:pPr>
      <w:spacing w:lineRule="atLeast" w:line="200" w:before="0" w:after="0"/>
    </w:pPr>
    <w:rPr>
      <w:rFonts w:ascii="Lohit Devanagari" w:hAnsi="Lohit Devanagari"/>
      <w:color w:val="000000"/>
      <w:kern w:val="2"/>
      <w:sz w:val="36"/>
    </w:rPr>
  </w:style>
  <w:style w:type="paragraph" w:styleId="Yellow2">
    <w:name w:val="yellow2"/>
    <w:basedOn w:val="Default"/>
    <w:qFormat/>
    <w:pPr>
      <w:spacing w:lineRule="atLeast" w:line="200" w:before="0" w:after="0"/>
    </w:pPr>
    <w:rPr>
      <w:rFonts w:ascii="Lohit Devanagari" w:hAnsi="Lohit Devanagari"/>
      <w:color w:val="000000"/>
      <w:kern w:val="2"/>
      <w:sz w:val="36"/>
    </w:rPr>
  </w:style>
  <w:style w:type="paragraph" w:styleId="Yellow3">
    <w:name w:val="yellow3"/>
    <w:basedOn w:val="Default"/>
    <w:qFormat/>
    <w:pPr>
      <w:spacing w:lineRule="atLeast" w:line="200" w:before="0" w:after="0"/>
    </w:pPr>
    <w:rPr>
      <w:rFonts w:ascii="Lohit Devanagari" w:hAnsi="Lohit Devanagari"/>
      <w:color w:val="000000"/>
      <w:kern w:val="2"/>
      <w:sz w:val="36"/>
    </w:rPr>
  </w:style>
  <w:style w:type="paragraph" w:styleId="Hintergrundobjekte">
    <w:name w:val="Hintergrundobjekte"/>
    <w:qFormat/>
    <w:pPr>
      <w:widowControl/>
      <w:overflowPunct w:val="false"/>
      <w:bidi w:val="0"/>
      <w:jc w:val="left"/>
    </w:pPr>
    <w:rPr>
      <w:rFonts w:ascii="Liberation Serif" w:hAnsi="Liberation Serif" w:eastAsia="DejaVu Sans" w:cs="Liberation Sans"/>
      <w:color w:val="auto"/>
      <w:kern w:val="2"/>
      <w:sz w:val="24"/>
      <w:szCs w:val="24"/>
      <w:lang w:val="de-DE" w:eastAsia="zh-CN" w:bidi="hi-IN"/>
    </w:rPr>
  </w:style>
  <w:style w:type="paragraph" w:styleId="Hintergrund">
    <w:name w:val="Hintergrund"/>
    <w:qFormat/>
    <w:pPr>
      <w:widowControl/>
      <w:overflowPunct w:val="false"/>
      <w:bidi w:val="0"/>
      <w:jc w:val="left"/>
    </w:pPr>
    <w:rPr>
      <w:rFonts w:ascii="Liberation Serif" w:hAnsi="Liberation Serif" w:eastAsia="DejaVu Sans" w:cs="Liberation Sans"/>
      <w:color w:val="auto"/>
      <w:kern w:val="2"/>
      <w:sz w:val="24"/>
      <w:szCs w:val="24"/>
      <w:lang w:val="de-DE" w:eastAsia="zh-CN" w:bidi="hi-IN"/>
    </w:rPr>
  </w:style>
  <w:style w:type="paragraph" w:styleId="Notizen">
    <w:name w:val="Notizen"/>
    <w:qFormat/>
    <w:pPr>
      <w:widowControl/>
      <w:overflowPunct w:val="false"/>
      <w:bidi w:val="0"/>
      <w:ind w:left="340" w:right="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de-DE" w:eastAsia="zh-CN" w:bidi="hi-IN"/>
    </w:rPr>
  </w:style>
  <w:style w:type="paragraph" w:styleId="Gliederung1">
    <w:name w:val="Gliederung 1"/>
    <w:qFormat/>
    <w:pPr>
      <w:widowControl/>
      <w:overflowPunct w:val="false"/>
      <w:bidi w:val="0"/>
      <w:spacing w:before="283" w:after="0"/>
      <w:jc w:val="left"/>
    </w:pPr>
    <w:rPr>
      <w:rFonts w:ascii="Lohit Devanagari" w:hAnsi="Lohit Devanagari" w:eastAsia="DejaVu Sans" w:cs="Liberation Sans"/>
      <w:b w:val="false"/>
      <w:i w:val="false"/>
      <w:strike w:val="false"/>
      <w:dstrike w:val="false"/>
      <w:outline w:val="false"/>
      <w:shadow w:val="false"/>
      <w:color w:val="000000"/>
      <w:kern w:val="2"/>
      <w:sz w:val="63"/>
      <w:szCs w:val="24"/>
      <w:u w:val="none"/>
      <w:em w:val="none"/>
      <w:lang w:val="de-DE" w:eastAsia="zh-CN" w:bidi="hi-IN"/>
    </w:rPr>
  </w:style>
  <w:style w:type="paragraph" w:styleId="Gliederung2">
    <w:name w:val="Gliederung 2"/>
    <w:basedOn w:val="Gliederung1"/>
    <w:qFormat/>
    <w:pPr>
      <w:spacing w:before="227" w:after="0"/>
    </w:pPr>
    <w:rPr>
      <w:rFonts w:ascii="Lohit Devanagari" w:hAnsi="Lohit Devanagari"/>
      <w:b w:val="false"/>
      <w:i w:val="false"/>
      <w:strike w:val="false"/>
      <w:dstrike w:val="false"/>
      <w:outline w:val="false"/>
      <w:shadow w:val="false"/>
      <w:color w:val="000000"/>
      <w:kern w:val="2"/>
      <w:sz w:val="56"/>
      <w:u w:val="none"/>
      <w:em w:val="none"/>
    </w:rPr>
  </w:style>
  <w:style w:type="paragraph" w:styleId="Gliederung3">
    <w:name w:val="Gliederung 3"/>
    <w:basedOn w:val="Gliederung2"/>
    <w:qFormat/>
    <w:pPr>
      <w:spacing w:before="170" w:after="0"/>
    </w:pPr>
    <w:rPr>
      <w:rFonts w:ascii="Lohit Devanagari" w:hAnsi="Lohit Devanagari"/>
      <w:b w:val="false"/>
      <w:i w:val="false"/>
      <w:strike w:val="false"/>
      <w:dstrike w:val="false"/>
      <w:outline w:val="false"/>
      <w:shadow w:val="false"/>
      <w:color w:val="000000"/>
      <w:kern w:val="2"/>
      <w:sz w:val="48"/>
      <w:u w:val="none"/>
      <w:em w:val="none"/>
    </w:rPr>
  </w:style>
  <w:style w:type="paragraph" w:styleId="Gliederung4">
    <w:name w:val="Gliederung 4"/>
    <w:basedOn w:val="Gliederung3"/>
    <w:qFormat/>
    <w:pPr>
      <w:spacing w:before="113"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Gliederung5">
    <w:name w:val="Gliederung 5"/>
    <w:basedOn w:val="Gliederung4"/>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Gliederung6">
    <w:name w:val="Gliederung 6"/>
    <w:basedOn w:val="Gliederung5"/>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Gliederung7">
    <w:name w:val="Gliederung 7"/>
    <w:basedOn w:val="Gliederung6"/>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Gliederung8">
    <w:name w:val="Gliederung 8"/>
    <w:basedOn w:val="Gliederung7"/>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Gliederung9">
    <w:name w:val="Gliederung 9"/>
    <w:basedOn w:val="Gliederung8"/>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Fuzeile">
    <w:name w:val="Footer"/>
    <w:basedOn w:val="Normal"/>
    <w:pPr>
      <w:suppressLineNumbers/>
      <w:tabs>
        <w:tab w:val="center" w:pos="4986" w:leader="none"/>
        <w:tab w:val="right" w:pos="9972" w:leader="none"/>
      </w:tabs>
    </w:pPr>
    <w:rPr/>
  </w:style>
  <w:style w:type="paragraph" w:styleId="Tabelleninhalt">
    <w:name w:val="Tabelleninhalt"/>
    <w:basedOn w:val="Normal"/>
    <w:qFormat/>
    <w:pPr>
      <w:suppressLineNumbers/>
    </w:pPr>
    <w:rPr/>
  </w:style>
  <w:style w:type="paragraph" w:styleId="Tabellenberschrift">
    <w:name w:val="Tabellenüberschrift"/>
    <w:basedOn w:val="Tabelleninhalt"/>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357</TotalTime>
  <Application>LibreOffice/6.0.7.3$Linux_X86_64 LibreOffice_project/00m0$Build-3</Application>
  <Pages>4</Pages>
  <Words>880</Words>
  <Characters>6230</Characters>
  <CharactersWithSpaces>7070</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2019-11-11T09:45:46Z</dcterms:created>
  <dc:creator/>
  <dc:description/>
  <dc:language>de-DE</dc:language>
  <cp:lastModifiedBy/>
  <dcterms:modified xsi:type="dcterms:W3CDTF">2020-09-08T22:34:30Z</dcterms:modified>
  <cp:revision>39</cp:revision>
  <dc:subject/>
  <dc:title/>
</cp:coreProperties>
</file>