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02"/>
        <w:gridCol w:w="4260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72290C3D" w:rsidR="00C90B6F" w:rsidRDefault="00D64DD6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37ABBEF" wp14:editId="4F63C7B1">
                  <wp:simplePos x="0" y="0"/>
                  <wp:positionH relativeFrom="column">
                    <wp:posOffset>4875530</wp:posOffset>
                  </wp:positionH>
                  <wp:positionV relativeFrom="paragraph">
                    <wp:posOffset>8255</wp:posOffset>
                  </wp:positionV>
                  <wp:extent cx="813435" cy="575945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246" y="20957"/>
                      <wp:lineTo x="21246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498BB3C9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D64DD6">
              <w:rPr>
                <w:b/>
                <w:sz w:val="28"/>
                <w:szCs w:val="28"/>
              </w:rPr>
              <w:t>Kohlenhydrate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600211" w14:paraId="396BF2ED" w14:textId="77777777" w:rsidTr="00AC3003">
        <w:tc>
          <w:tcPr>
            <w:tcW w:w="9062" w:type="dxa"/>
            <w:gridSpan w:val="2"/>
          </w:tcPr>
          <w:p w14:paraId="1F33934F" w14:textId="77777777" w:rsidR="00600211" w:rsidRDefault="00600211" w:rsidP="0077018E">
            <w:pPr>
              <w:rPr>
                <w:b/>
              </w:rPr>
            </w:pPr>
          </w:p>
          <w:p w14:paraId="18A7057C" w14:textId="33867D8F" w:rsidR="00600211" w:rsidRDefault="00600211" w:rsidP="006A01EA">
            <w:pPr>
              <w:ind w:left="1161" w:hanging="116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</w:t>
            </w:r>
            <w:r>
              <w:rPr>
                <w:b/>
                <w:sz w:val="28"/>
                <w:szCs w:val="28"/>
              </w:rPr>
              <w:tab/>
              <w:t>Nachweis der Aldehyd-Gruppe mit Königsblau-Reagenz (SV)</w:t>
            </w:r>
          </w:p>
          <w:p w14:paraId="2139973E" w14:textId="05A6752F" w:rsidR="00600211" w:rsidRPr="006A01EA" w:rsidRDefault="00600211" w:rsidP="006A01E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3C9C4B3A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  <w:r w:rsidR="006A01EA">
              <w:rPr>
                <w:b/>
              </w:rPr>
              <w:tab/>
            </w:r>
            <w:r w:rsidR="006A01EA">
              <w:rPr>
                <w:b/>
              </w:rPr>
              <w:tab/>
            </w:r>
          </w:p>
          <w:p w14:paraId="4BC5174E" w14:textId="77516B84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D64DD6">
              <w:t>4</w:t>
            </w:r>
            <w:r>
              <w:t xml:space="preserve"> </w:t>
            </w:r>
            <w:r w:rsidR="00D64DD6">
              <w:t>Naturstoffe</w:t>
            </w:r>
          </w:p>
          <w:p w14:paraId="15B61D1D" w14:textId="77777777" w:rsidR="00D64DD6" w:rsidRPr="00D64DD6" w:rsidRDefault="00D64DD6" w:rsidP="00D64DD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64DD6">
              <w:rPr>
                <w:rFonts w:cstheme="minorHAnsi"/>
              </w:rPr>
              <w:t xml:space="preserve">(4) den Ringschluss bei Monosacchariden als </w:t>
            </w:r>
            <w:proofErr w:type="spellStart"/>
            <w:r w:rsidRPr="00D64DD6">
              <w:rPr>
                <w:rFonts w:cstheme="minorHAnsi"/>
              </w:rPr>
              <w:t>Halbacetalbildung</w:t>
            </w:r>
            <w:proofErr w:type="spellEnd"/>
            <w:r w:rsidRPr="00D64DD6">
              <w:rPr>
                <w:rFonts w:cstheme="minorHAnsi"/>
              </w:rPr>
              <w:t xml:space="preserve"> erläutern (nucleophiler Angriff)</w:t>
            </w:r>
          </w:p>
          <w:p w14:paraId="068792B1" w14:textId="77777777" w:rsidR="00D64DD6" w:rsidRPr="00D64DD6" w:rsidRDefault="00D64DD6" w:rsidP="00D64DD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64DD6">
              <w:rPr>
                <w:rFonts w:cstheme="minorHAnsi"/>
              </w:rPr>
              <w:t>und den Zusammenhang zwischen Fischer-Projektionsformeln und Haworth-Projektionsformeln</w:t>
            </w:r>
          </w:p>
          <w:p w14:paraId="3F0BAE57" w14:textId="2BCD1905" w:rsidR="00E35749" w:rsidRPr="00D64DD6" w:rsidRDefault="00D64DD6" w:rsidP="00D64DD6">
            <w:pPr>
              <w:rPr>
                <w:rFonts w:cstheme="minorHAnsi"/>
                <w:b/>
              </w:rPr>
            </w:pPr>
            <w:r w:rsidRPr="00D64DD6">
              <w:rPr>
                <w:rFonts w:cstheme="minorHAnsi"/>
              </w:rPr>
              <w:t xml:space="preserve">darstellen (D-Glucose, </w:t>
            </w:r>
            <w:r>
              <w:rPr>
                <w:rFonts w:cstheme="minorHAnsi"/>
              </w:rPr>
              <w:t>[…]</w:t>
            </w:r>
            <w:r w:rsidRPr="00D64DD6">
              <w:rPr>
                <w:rFonts w:cstheme="minorHAnsi"/>
              </w:rPr>
              <w:t>)</w:t>
            </w: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16D2B77A" w14:textId="3BB3AD59" w:rsidR="00F54B45" w:rsidRDefault="00F54B45" w:rsidP="002E75BC">
            <w:r>
              <w:t>2.1 Erkenntnisgewinnung</w:t>
            </w:r>
          </w:p>
          <w:p w14:paraId="101E6FC8" w14:textId="77777777" w:rsidR="00D64DD6" w:rsidRPr="00D64DD6" w:rsidRDefault="00F54B45" w:rsidP="00D64DD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t>(</w:t>
            </w:r>
            <w:r w:rsidR="00D64DD6">
              <w:t>10</w:t>
            </w:r>
            <w:r>
              <w:t xml:space="preserve">) </w:t>
            </w:r>
            <w:r w:rsidR="00D64DD6" w:rsidRPr="00D64DD6">
              <w:rPr>
                <w:rFonts w:cstheme="minorHAnsi"/>
              </w:rPr>
              <w:t>Modelle und Simulationen nutzen, um sich naturwissenschaftliche Sachverhalte zu</w:t>
            </w:r>
          </w:p>
          <w:p w14:paraId="770E1528" w14:textId="7AB3050C" w:rsidR="00F54B45" w:rsidRDefault="00D64DD6" w:rsidP="00D64DD6">
            <w:r w:rsidRPr="00D64DD6">
              <w:rPr>
                <w:rFonts w:cstheme="minorHAnsi"/>
              </w:rPr>
              <w:t>erschließen</w:t>
            </w:r>
          </w:p>
          <w:p w14:paraId="2D12B886" w14:textId="2F4C2275" w:rsidR="00F54B45" w:rsidRDefault="002E75BC" w:rsidP="002E75BC">
            <w:r w:rsidRPr="005045E7">
              <w:t>2.</w:t>
            </w:r>
            <w:r w:rsidR="00F54B45">
              <w:t>2</w:t>
            </w:r>
            <w:r w:rsidRPr="005045E7">
              <w:t xml:space="preserve"> </w:t>
            </w:r>
            <w:r w:rsidR="00F54B45">
              <w:t>Kommunikation</w:t>
            </w:r>
          </w:p>
          <w:p w14:paraId="6AC8A9BB" w14:textId="65FBA67D" w:rsidR="00E35749" w:rsidRPr="00CC74EC" w:rsidRDefault="002E75BC" w:rsidP="00F54B45">
            <w:r>
              <w:t>(</w:t>
            </w:r>
            <w:r w:rsidR="00F54B45">
              <w:t>4</w:t>
            </w:r>
            <w:r>
              <w:t>)</w:t>
            </w:r>
            <w:r w:rsidR="00F54B45">
              <w:t xml:space="preserve"> chemische Sachverhalte unter Verwendung der Fachsprache […] beschreiben […] oder erklären</w:t>
            </w:r>
          </w:p>
        </w:tc>
      </w:tr>
      <w:tr w:rsidR="00B717F6" w14:paraId="00B04E60" w14:textId="77777777" w:rsidTr="00600211">
        <w:tc>
          <w:tcPr>
            <w:tcW w:w="4858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2CCB1998" w:rsidR="00B717F6" w:rsidRPr="0017173D" w:rsidRDefault="00D64DD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Tüpfelplatte</w:t>
            </w:r>
          </w:p>
          <w:p w14:paraId="258E29D6" w14:textId="5D503555" w:rsidR="00AC124B" w:rsidRDefault="00D64DD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Pipetten</w:t>
            </w:r>
          </w:p>
          <w:p w14:paraId="56F98938" w14:textId="011133D7" w:rsidR="000208DF" w:rsidRPr="006A01EA" w:rsidRDefault="006A01EA" w:rsidP="006A01EA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2 Objektgläser</w:t>
            </w:r>
          </w:p>
        </w:tc>
        <w:tc>
          <w:tcPr>
            <w:tcW w:w="4204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44A23CBA" w:rsidR="00B717F6" w:rsidRDefault="00D64DD6" w:rsidP="00AC124B">
            <w:pPr>
              <w:pStyle w:val="Listenabsatz"/>
              <w:numPr>
                <w:ilvl w:val="0"/>
                <w:numId w:val="12"/>
              </w:numPr>
            </w:pPr>
            <w:r>
              <w:t>Glucose-Lösung</w:t>
            </w:r>
          </w:p>
          <w:p w14:paraId="1F007F6B" w14:textId="123DAB12" w:rsidR="00D64DD6" w:rsidRDefault="00D64DD6" w:rsidP="00AC124B">
            <w:pPr>
              <w:pStyle w:val="Listenabsatz"/>
              <w:numPr>
                <w:ilvl w:val="0"/>
                <w:numId w:val="12"/>
              </w:numPr>
            </w:pPr>
            <w:r>
              <w:t>Propanal</w:t>
            </w:r>
          </w:p>
          <w:p w14:paraId="49FCC221" w14:textId="0801B28E" w:rsidR="00AC124B" w:rsidRPr="00CC74EC" w:rsidRDefault="00D64DD6" w:rsidP="00D64DD6">
            <w:pPr>
              <w:pStyle w:val="Listenabsatz"/>
              <w:numPr>
                <w:ilvl w:val="0"/>
                <w:numId w:val="12"/>
              </w:numPr>
            </w:pPr>
            <w:r>
              <w:t>Königsblau-Reagenz</w:t>
            </w: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37B607A6" w:rsidR="00AC124B" w:rsidRDefault="00D64DD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Tropfen Sie in eine Mulde der Tüpfelplatte 2-3 Tropfen der Glucose-Lösung</w:t>
            </w:r>
            <w:r w:rsidR="006A01EA">
              <w:rPr>
                <w:bCs/>
              </w:rPr>
              <w:t>,</w:t>
            </w:r>
            <w:r>
              <w:rPr>
                <w:bCs/>
              </w:rPr>
              <w:t xml:space="preserve"> in eine zweite </w:t>
            </w:r>
            <w:r w:rsidR="008C2460">
              <w:rPr>
                <w:bCs/>
              </w:rPr>
              <w:t>2-3 Tropfen Propanal.</w:t>
            </w:r>
          </w:p>
          <w:p w14:paraId="45814652" w14:textId="77845DD1" w:rsidR="008542F8" w:rsidRPr="008C2460" w:rsidRDefault="008C2460" w:rsidP="008C2460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beiden Vertiefungen jeweils 2-3 Tropfen des Königsblau-Reagenz zu</w:t>
            </w:r>
            <w:r w:rsidR="006A01EA">
              <w:rPr>
                <w:bCs/>
              </w:rPr>
              <w:t xml:space="preserve"> und decken beide Mulden mit einem Objektglas ab.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3A216057" w14:textId="2D79BA28" w:rsidR="006A01EA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>:</w:t>
            </w:r>
          </w:p>
          <w:p w14:paraId="12023B1B" w14:textId="50AFCA0E" w:rsidR="006A01EA" w:rsidRPr="006A01EA" w:rsidRDefault="006A01EA" w:rsidP="006A01EA">
            <w:pPr>
              <w:spacing w:before="60" w:after="60"/>
              <w:rPr>
                <w:bCs/>
                <w:i/>
                <w:iCs/>
              </w:rPr>
            </w:pPr>
            <w:r w:rsidRPr="006A01EA">
              <w:rPr>
                <w:bCs/>
                <w:i/>
                <w:iCs/>
              </w:rPr>
              <w:t xml:space="preserve">Für den sinnvollen Einsatz dieser Vorgehensweise ist es zwingend notwendig die Einheit </w:t>
            </w:r>
            <w:r w:rsidR="00BA25DD">
              <w:rPr>
                <w:bCs/>
                <w:i/>
                <w:iCs/>
              </w:rPr>
              <w:t>„</w:t>
            </w:r>
            <w:r w:rsidRPr="006A01EA">
              <w:rPr>
                <w:bCs/>
                <w:i/>
                <w:iCs/>
              </w:rPr>
              <w:t>chemische Gleichgewichte</w:t>
            </w:r>
            <w:r w:rsidR="00BA25DD">
              <w:rPr>
                <w:bCs/>
                <w:i/>
                <w:iCs/>
              </w:rPr>
              <w:t>“</w:t>
            </w:r>
            <w:r w:rsidRPr="006A01EA">
              <w:rPr>
                <w:bCs/>
                <w:i/>
                <w:iCs/>
              </w:rPr>
              <w:t xml:space="preserve"> </w:t>
            </w:r>
            <w:r w:rsidRPr="006A01EA">
              <w:rPr>
                <w:b/>
                <w:i/>
                <w:iCs/>
              </w:rPr>
              <w:t>VOR</w:t>
            </w:r>
            <w:r w:rsidRPr="006A01EA">
              <w:rPr>
                <w:bCs/>
                <w:i/>
                <w:iCs/>
              </w:rPr>
              <w:t xml:space="preserve"> de</w:t>
            </w:r>
            <w:r w:rsidR="00BA25DD">
              <w:rPr>
                <w:bCs/>
                <w:i/>
                <w:iCs/>
              </w:rPr>
              <w:t>r Einheit</w:t>
            </w:r>
            <w:r w:rsidRPr="006A01EA">
              <w:rPr>
                <w:bCs/>
                <w:i/>
                <w:iCs/>
              </w:rPr>
              <w:t xml:space="preserve"> </w:t>
            </w:r>
            <w:r w:rsidR="00BA25DD">
              <w:rPr>
                <w:bCs/>
                <w:i/>
                <w:iCs/>
              </w:rPr>
              <w:t>„</w:t>
            </w:r>
            <w:r w:rsidRPr="006A01EA">
              <w:rPr>
                <w:bCs/>
                <w:i/>
                <w:iCs/>
              </w:rPr>
              <w:t>Naturstoffe</w:t>
            </w:r>
            <w:r w:rsidR="00BA25DD">
              <w:rPr>
                <w:bCs/>
                <w:i/>
                <w:iCs/>
              </w:rPr>
              <w:t>“</w:t>
            </w:r>
            <w:r w:rsidRPr="006A01EA">
              <w:rPr>
                <w:bCs/>
                <w:i/>
                <w:iCs/>
              </w:rPr>
              <w:t xml:space="preserve"> zu behandeln!</w:t>
            </w:r>
          </w:p>
          <w:p w14:paraId="7E1C8C00" w14:textId="326E1D7F" w:rsidR="00BA25DD" w:rsidRDefault="00BA25DD" w:rsidP="00AC124B">
            <w:pPr>
              <w:rPr>
                <w:bCs/>
              </w:rPr>
            </w:pPr>
            <w:r>
              <w:rPr>
                <w:bCs/>
              </w:rPr>
              <w:t>Achtung:</w:t>
            </w:r>
          </w:p>
          <w:p w14:paraId="456E509A" w14:textId="0312AE43" w:rsidR="00BA25DD" w:rsidRDefault="00BA25DD" w:rsidP="00BA25DD">
            <w:pPr>
              <w:spacing w:after="120"/>
              <w:rPr>
                <w:bCs/>
              </w:rPr>
            </w:pPr>
            <w:r>
              <w:rPr>
                <w:bCs/>
              </w:rPr>
              <w:t>Befinden sich die Glucose-Lösung und das Propanal direkt nebeneinander auf der Tüpfelplatte, können Propanal-Dämpfe das Ergebnis der Glucose-Lösung verfälschen. Daher sollten die Mulden abgedeckt werden oder man verwendet für die beiden Nachweisreaktionen auch zwei Tüpfelplatten, die man in einem größeren Abstand zueinander stellt.</w:t>
            </w:r>
          </w:p>
          <w:p w14:paraId="3149AC37" w14:textId="02E74A5D" w:rsidR="006851A5" w:rsidRDefault="008C2460" w:rsidP="00AC124B">
            <w:pPr>
              <w:rPr>
                <w:bCs/>
              </w:rPr>
            </w:pPr>
            <w:r>
              <w:rPr>
                <w:bCs/>
              </w:rPr>
              <w:t>Das Königsblau-Reagenz ist zu Beginn olivgrün</w:t>
            </w:r>
            <w:r w:rsidR="00A316B5">
              <w:rPr>
                <w:bCs/>
              </w:rPr>
              <w:t xml:space="preserve"> (Abb. 1, II)</w:t>
            </w:r>
            <w:r>
              <w:rPr>
                <w:bCs/>
              </w:rPr>
              <w:t>. Bei Anwesenheit einer Aldehydgruppe färbt sich die Lösung tiefblau</w:t>
            </w:r>
            <w:r w:rsidR="00A316B5">
              <w:rPr>
                <w:bCs/>
              </w:rPr>
              <w:t xml:space="preserve"> Abb. 1, I)</w:t>
            </w:r>
            <w:r>
              <w:rPr>
                <w:bCs/>
              </w:rPr>
              <w:t>.</w:t>
            </w:r>
          </w:p>
          <w:p w14:paraId="3AA97BD8" w14:textId="175BA5B2" w:rsidR="006A01EA" w:rsidRDefault="008C2460" w:rsidP="006A01EA">
            <w:pPr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Die Glucose-Lösung bleibt olivgrün, wohingegen sich das Propanal blau verfärbt. Hierbei handelt es sich um eine Alternative zur </w:t>
            </w:r>
            <w:proofErr w:type="spellStart"/>
            <w:r>
              <w:rPr>
                <w:rFonts w:cstheme="minorHAnsi"/>
                <w:bCs/>
              </w:rPr>
              <w:t>Schiff´schen</w:t>
            </w:r>
            <w:proofErr w:type="spellEnd"/>
            <w:r>
              <w:rPr>
                <w:rFonts w:cstheme="minorHAnsi"/>
                <w:bCs/>
              </w:rPr>
              <w:t xml:space="preserve"> Probe, wodurch die Problematik mit dem Para-Fuchsin umgangen werden kann</w:t>
            </w:r>
            <w:r w:rsidR="00F54B45">
              <w:rPr>
                <w:rFonts w:cstheme="minorHAnsi"/>
                <w:bCs/>
              </w:rPr>
              <w:t>.</w:t>
            </w:r>
          </w:p>
          <w:p w14:paraId="31F0544A" w14:textId="6BDE5E51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4CD5358C" w14:textId="2A7419E5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43123E75" w14:textId="2DF2E74C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5AA00B73" w14:textId="77777777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1DA232F8" w14:textId="77777777" w:rsidR="00A316B5" w:rsidRDefault="006C3432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Herstellung des Königsblau-Reagenz</w:t>
            </w:r>
            <w:r w:rsidR="00A316B5">
              <w:rPr>
                <w:rFonts w:cstheme="minorHAnsi"/>
                <w:bCs/>
              </w:rPr>
              <w:t>:</w:t>
            </w:r>
          </w:p>
          <w:p w14:paraId="62242F06" w14:textId="403C3DE2" w:rsidR="00A316B5" w:rsidRDefault="00A316B5" w:rsidP="00A316B5">
            <w:pPr>
              <w:pStyle w:val="Listenabsatz"/>
              <w:numPr>
                <w:ilvl w:val="0"/>
                <w:numId w:val="14"/>
              </w:numPr>
              <w:ind w:left="452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In ein Becherglas (100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) werden 1,39 g </w:t>
            </w:r>
            <w:proofErr w:type="spellStart"/>
            <w:r>
              <w:rPr>
                <w:rFonts w:cstheme="minorHAnsi"/>
                <w:bCs/>
              </w:rPr>
              <w:t>Natriumdihydrogenphosphat</w:t>
            </w:r>
            <w:proofErr w:type="spellEnd"/>
            <w:r>
              <w:rPr>
                <w:rFonts w:cstheme="minorHAnsi"/>
                <w:bCs/>
              </w:rPr>
              <w:t xml:space="preserve"> (NaH</w:t>
            </w:r>
            <w:r w:rsidRPr="00A316B5">
              <w:rPr>
                <w:rFonts w:cstheme="minorHAnsi"/>
                <w:bCs/>
                <w:vertAlign w:val="subscript"/>
              </w:rPr>
              <w:t>2</w:t>
            </w:r>
            <w:r>
              <w:rPr>
                <w:rFonts w:cstheme="minorHAnsi"/>
                <w:bCs/>
              </w:rPr>
              <w:t>PO</w:t>
            </w:r>
            <w:r w:rsidRPr="00A316B5">
              <w:rPr>
                <w:rFonts w:cstheme="minorHAnsi"/>
                <w:bCs/>
                <w:vertAlign w:val="subscript"/>
              </w:rPr>
              <w:t>4</w:t>
            </w:r>
            <w:r w:rsidR="007D3158">
              <w:rPr>
                <w:rFonts w:cstheme="minorHAnsi"/>
                <w:bCs/>
                <w:vertAlign w:val="subscript"/>
              </w:rPr>
              <w:t xml:space="preserve"> </w:t>
            </w:r>
            <w:r w:rsidRPr="007D3158">
              <w:rPr>
                <w:rFonts w:ascii="Calibri" w:hAnsi="Calibri" w:cs="Calibri"/>
                <w:bCs/>
                <w:sz w:val="13"/>
                <w:szCs w:val="13"/>
                <w:vertAlign w:val="superscript"/>
              </w:rPr>
              <w:t>•</w:t>
            </w:r>
            <w:r w:rsidR="007D3158" w:rsidRPr="007D3158">
              <w:rPr>
                <w:rFonts w:ascii="Calibri" w:hAnsi="Calibri" w:cs="Calibri"/>
                <w:bCs/>
              </w:rPr>
              <w:t xml:space="preserve"> </w:t>
            </w:r>
            <w:r w:rsidR="003E5FA4">
              <w:rPr>
                <w:rFonts w:ascii="Calibri" w:hAnsi="Calibri" w:cs="Calibri"/>
                <w:bCs/>
              </w:rPr>
              <w:t>1</w:t>
            </w:r>
            <w:r w:rsidR="007D3158" w:rsidRPr="007D3158">
              <w:rPr>
                <w:rFonts w:ascii="Calibri" w:hAnsi="Calibri" w:cs="Calibri"/>
                <w:bCs/>
              </w:rPr>
              <w:t>H</w:t>
            </w:r>
            <w:r w:rsidR="007D3158" w:rsidRPr="007D3158">
              <w:rPr>
                <w:rFonts w:ascii="Calibri" w:hAnsi="Calibri" w:cs="Calibri"/>
                <w:bCs/>
                <w:vertAlign w:val="subscript"/>
              </w:rPr>
              <w:t>2</w:t>
            </w:r>
            <w:r w:rsidR="007D3158" w:rsidRPr="007D3158">
              <w:rPr>
                <w:rFonts w:ascii="Calibri" w:hAnsi="Calibri" w:cs="Calibri"/>
                <w:bCs/>
              </w:rPr>
              <w:t>O</w:t>
            </w:r>
            <w:r>
              <w:rPr>
                <w:rFonts w:cstheme="minorHAnsi"/>
                <w:bCs/>
              </w:rPr>
              <w:t xml:space="preserve">) und 5,32 g </w:t>
            </w:r>
            <w:proofErr w:type="spellStart"/>
            <w:r>
              <w:rPr>
                <w:rFonts w:cstheme="minorHAnsi"/>
                <w:bCs/>
              </w:rPr>
              <w:t>Dikaliumhydrogenphosphat</w:t>
            </w:r>
            <w:proofErr w:type="spellEnd"/>
            <w:r>
              <w:rPr>
                <w:rFonts w:cstheme="minorHAnsi"/>
                <w:bCs/>
              </w:rPr>
              <w:t xml:space="preserve"> (K</w:t>
            </w:r>
            <w:r w:rsidRPr="00A316B5">
              <w:rPr>
                <w:rFonts w:cstheme="minorHAnsi"/>
                <w:bCs/>
                <w:vertAlign w:val="subscript"/>
              </w:rPr>
              <w:t>2</w:t>
            </w:r>
            <w:r>
              <w:rPr>
                <w:rFonts w:cstheme="minorHAnsi"/>
                <w:bCs/>
              </w:rPr>
              <w:t>HPO</w:t>
            </w:r>
            <w:r w:rsidRPr="00A316B5">
              <w:rPr>
                <w:rFonts w:cstheme="minorHAnsi"/>
                <w:bCs/>
                <w:vertAlign w:val="subscript"/>
              </w:rPr>
              <w:t>4</w:t>
            </w:r>
            <w:r>
              <w:rPr>
                <w:rFonts w:cstheme="minorHAnsi"/>
                <w:bCs/>
              </w:rPr>
              <w:t>) eingewogen.</w:t>
            </w:r>
            <w:r w:rsidR="006A01EA">
              <w:rPr>
                <w:rFonts w:cstheme="minorHAnsi"/>
                <w:bCs/>
              </w:rPr>
              <w:t xml:space="preserve"> (Alternativ kann der der pH-Wert von 7,4 auch mittels fertigen Pufferlösungen eingestellt werden.)</w:t>
            </w:r>
          </w:p>
          <w:p w14:paraId="473EC7F4" w14:textId="2D05CA3E" w:rsidR="007D3158" w:rsidRDefault="007D3158" w:rsidP="00A316B5">
            <w:pPr>
              <w:pStyle w:val="Listenabsatz"/>
              <w:numPr>
                <w:ilvl w:val="0"/>
                <w:numId w:val="14"/>
              </w:numPr>
              <w:ind w:left="452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Dem Gemisch fügt man 10 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blaue Tinte (Pelikan 4001, </w:t>
            </w:r>
            <w:r w:rsidR="00F31FE1">
              <w:rPr>
                <w:rFonts w:cstheme="minorHAnsi"/>
                <w:bCs/>
              </w:rPr>
              <w:t>Methyl</w:t>
            </w:r>
            <w:r>
              <w:rPr>
                <w:rFonts w:cstheme="minorHAnsi"/>
                <w:bCs/>
              </w:rPr>
              <w:t>blau) zu und rührt, bis sich die Feststoffe vollständig gelöst haben.</w:t>
            </w:r>
          </w:p>
          <w:p w14:paraId="64E0BF9F" w14:textId="59EA1A42" w:rsidR="007D3158" w:rsidRDefault="007D3158" w:rsidP="00A316B5">
            <w:pPr>
              <w:pStyle w:val="Listenabsatz"/>
              <w:numPr>
                <w:ilvl w:val="0"/>
                <w:numId w:val="14"/>
              </w:numPr>
              <w:ind w:left="452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Nun pipettiert man 2,6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Natriumsulfit-Lösung (c = 0,1 </w:t>
            </w:r>
            <w:proofErr w:type="spellStart"/>
            <w:r>
              <w:rPr>
                <w:rFonts w:cstheme="minorHAnsi"/>
                <w:bCs/>
              </w:rPr>
              <w:t>mol</w:t>
            </w:r>
            <w:proofErr w:type="spellEnd"/>
            <w:r>
              <w:rPr>
                <w:rFonts w:cstheme="minorHAnsi"/>
                <w:bCs/>
              </w:rPr>
              <w:t xml:space="preserve">/L) zu und rührt für weitere 20 Minuten bevor man die Lösung mit </w:t>
            </w:r>
            <w:proofErr w:type="spellStart"/>
            <w:r>
              <w:rPr>
                <w:rFonts w:cstheme="minorHAnsi"/>
                <w:bCs/>
              </w:rPr>
              <w:t>dest</w:t>
            </w:r>
            <w:proofErr w:type="spellEnd"/>
            <w:r>
              <w:rPr>
                <w:rFonts w:cstheme="minorHAnsi"/>
                <w:bCs/>
              </w:rPr>
              <w:t>. Wasser auf 25 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verdünnt.</w:t>
            </w:r>
          </w:p>
          <w:p w14:paraId="1BD1FDFA" w14:textId="19794D96" w:rsidR="007D3158" w:rsidRPr="006A01EA" w:rsidRDefault="007D3158" w:rsidP="006A01EA">
            <w:pPr>
              <w:pStyle w:val="Listenabsatz"/>
              <w:numPr>
                <w:ilvl w:val="0"/>
                <w:numId w:val="14"/>
              </w:numPr>
              <w:spacing w:after="120"/>
              <w:ind w:left="448" w:hanging="35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Nun ist die Lösung olivgrün (und ist ca. 1 Monat haltbar).</w:t>
            </w:r>
          </w:p>
          <w:p w14:paraId="73CC227A" w14:textId="77777777" w:rsidR="00BA25DD" w:rsidRDefault="00BA25DD" w:rsidP="006A01EA">
            <w:pPr>
              <w:rPr>
                <w:rFonts w:cstheme="minorHAnsi"/>
                <w:bCs/>
              </w:rPr>
            </w:pPr>
          </w:p>
          <w:p w14:paraId="181605DC" w14:textId="6ADEF5D5" w:rsidR="00BA25DD" w:rsidRDefault="00BA25DD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Erklärung:</w:t>
            </w:r>
          </w:p>
          <w:p w14:paraId="7BE17A8E" w14:textId="7B7BF69D" w:rsidR="00BA25DD" w:rsidRPr="00F31FE1" w:rsidRDefault="00BA25DD" w:rsidP="00BA25DD">
            <w:pPr>
              <w:rPr>
                <w:bCs/>
              </w:rPr>
            </w:pPr>
            <w:r>
              <w:rPr>
                <w:rFonts w:cstheme="minorHAnsi"/>
                <w:bCs/>
                <w:noProof/>
              </w:rPr>
              <w:drawing>
                <wp:anchor distT="0" distB="0" distL="114300" distR="114300" simplePos="0" relativeHeight="251673600" behindDoc="1" locked="0" layoutInCell="1" allowOverlap="1" wp14:anchorId="58F01888" wp14:editId="15AF0D95">
                  <wp:simplePos x="0" y="0"/>
                  <wp:positionH relativeFrom="column">
                    <wp:posOffset>124867</wp:posOffset>
                  </wp:positionH>
                  <wp:positionV relativeFrom="paragraph">
                    <wp:posOffset>448437</wp:posOffset>
                  </wp:positionV>
                  <wp:extent cx="5376545" cy="3205480"/>
                  <wp:effectExtent l="0" t="0" r="0" b="0"/>
                  <wp:wrapTight wrapText="bothSides">
                    <wp:wrapPolygon edited="0">
                      <wp:start x="17245" y="856"/>
                      <wp:lineTo x="7194" y="1626"/>
                      <wp:lineTo x="5561" y="1797"/>
                      <wp:lineTo x="5561" y="2396"/>
                      <wp:lineTo x="4796" y="3765"/>
                      <wp:lineTo x="4694" y="3851"/>
                      <wp:lineTo x="4286" y="4964"/>
                      <wp:lineTo x="3572" y="5220"/>
                      <wp:lineTo x="3572" y="5819"/>
                      <wp:lineTo x="3980" y="6504"/>
                      <wp:lineTo x="3572" y="7103"/>
                      <wp:lineTo x="3520" y="7873"/>
                      <wp:lineTo x="3010" y="9670"/>
                      <wp:lineTo x="2296" y="10269"/>
                      <wp:lineTo x="2296" y="10612"/>
                      <wp:lineTo x="1276" y="11296"/>
                      <wp:lineTo x="1173" y="11468"/>
                      <wp:lineTo x="1173" y="14035"/>
                      <wp:lineTo x="1429" y="14719"/>
                      <wp:lineTo x="1633" y="14719"/>
                      <wp:lineTo x="816" y="15062"/>
                      <wp:lineTo x="510" y="15575"/>
                      <wp:lineTo x="561" y="16089"/>
                      <wp:lineTo x="1429" y="17458"/>
                      <wp:lineTo x="1480" y="17629"/>
                      <wp:lineTo x="9847" y="18827"/>
                      <wp:lineTo x="10766" y="18827"/>
                      <wp:lineTo x="2296" y="20025"/>
                      <wp:lineTo x="2296" y="20796"/>
                      <wp:lineTo x="4388" y="20881"/>
                      <wp:lineTo x="15255" y="21052"/>
                      <wp:lineTo x="19082" y="21052"/>
                      <wp:lineTo x="19235" y="20025"/>
                      <wp:lineTo x="10766" y="18827"/>
                      <wp:lineTo x="14082" y="18571"/>
                      <wp:lineTo x="14388" y="17800"/>
                      <wp:lineTo x="13980" y="17458"/>
                      <wp:lineTo x="15051" y="16174"/>
                      <wp:lineTo x="15051" y="16089"/>
                      <wp:lineTo x="20460" y="14805"/>
                      <wp:lineTo x="20460" y="14719"/>
                      <wp:lineTo x="20919" y="14035"/>
                      <wp:lineTo x="20817" y="13607"/>
                      <wp:lineTo x="20562" y="13350"/>
                      <wp:lineTo x="21072" y="12580"/>
                      <wp:lineTo x="20970" y="11981"/>
                      <wp:lineTo x="19694" y="10612"/>
                      <wp:lineTo x="19745" y="9756"/>
                      <wp:lineTo x="19082" y="9242"/>
                      <wp:lineTo x="17960" y="9071"/>
                      <wp:lineTo x="17398" y="8729"/>
                      <wp:lineTo x="15613" y="7873"/>
                      <wp:lineTo x="15817" y="7873"/>
                      <wp:lineTo x="16123" y="7017"/>
                      <wp:lineTo x="16072" y="6504"/>
                      <wp:lineTo x="15715" y="5135"/>
                      <wp:lineTo x="18164" y="4707"/>
                      <wp:lineTo x="18470" y="3851"/>
                      <wp:lineTo x="18164" y="3765"/>
                      <wp:lineTo x="19235" y="2311"/>
                      <wp:lineTo x="17449" y="856"/>
                      <wp:lineTo x="17245" y="856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6545" cy="320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31FE1">
              <w:rPr>
                <w:bCs/>
              </w:rPr>
              <w:t>Sul</w:t>
            </w:r>
            <w:r>
              <w:rPr>
                <w:bCs/>
              </w:rPr>
              <w:t>f</w:t>
            </w:r>
            <w:r w:rsidRPr="00F31FE1">
              <w:rPr>
                <w:bCs/>
              </w:rPr>
              <w:t>it</w:t>
            </w:r>
            <w:r>
              <w:rPr>
                <w:bCs/>
              </w:rPr>
              <w:t>-Ionen können reversibel an das Methylblau addieren. Dabei bildet sich Methylblau-</w:t>
            </w:r>
            <w:proofErr w:type="spellStart"/>
            <w:r>
              <w:rPr>
                <w:bCs/>
              </w:rPr>
              <w:t>Carbinol</w:t>
            </w:r>
            <w:proofErr w:type="spellEnd"/>
            <w:r>
              <w:rPr>
                <w:bCs/>
              </w:rPr>
              <w:t>. Im leicht alkalischen Bereich (pH = 7,4) liegt das Gleichgewicht stark auf der rechten Seite, sodass die Lösung olivgrün erscheint.</w:t>
            </w:r>
          </w:p>
          <w:p w14:paraId="2BFE3977" w14:textId="6AC3D26B" w:rsidR="00BA25DD" w:rsidRDefault="00BA25DD" w:rsidP="006A01EA">
            <w:pPr>
              <w:rPr>
                <w:rFonts w:cstheme="minorHAnsi"/>
                <w:bCs/>
              </w:rPr>
            </w:pPr>
          </w:p>
          <w:p w14:paraId="415E0090" w14:textId="59B3695B" w:rsidR="00BA25DD" w:rsidRDefault="00BA25DD" w:rsidP="006A01EA">
            <w:pPr>
              <w:rPr>
                <w:rFonts w:cstheme="minorHAnsi"/>
                <w:bCs/>
              </w:rPr>
            </w:pPr>
          </w:p>
          <w:p w14:paraId="48DC80B0" w14:textId="03A3CC24" w:rsidR="00BA25DD" w:rsidRDefault="00BA25DD" w:rsidP="006A01EA">
            <w:pPr>
              <w:rPr>
                <w:rFonts w:cstheme="minorHAnsi"/>
                <w:bCs/>
              </w:rPr>
            </w:pPr>
          </w:p>
          <w:p w14:paraId="4C1346DC" w14:textId="1E4EC204" w:rsidR="00BA25DD" w:rsidRDefault="00BA25DD" w:rsidP="006A01EA">
            <w:pPr>
              <w:rPr>
                <w:rFonts w:cstheme="minorHAnsi"/>
                <w:bCs/>
              </w:rPr>
            </w:pPr>
          </w:p>
          <w:p w14:paraId="775A30DF" w14:textId="629CE835" w:rsidR="00BA25DD" w:rsidRDefault="00BA25DD" w:rsidP="006A01EA">
            <w:pPr>
              <w:rPr>
                <w:rFonts w:cstheme="minorHAnsi"/>
                <w:bCs/>
              </w:rPr>
            </w:pPr>
          </w:p>
          <w:p w14:paraId="78D1AD35" w14:textId="05834C87" w:rsidR="00BA25DD" w:rsidRDefault="00BA25DD" w:rsidP="006A01EA">
            <w:pPr>
              <w:rPr>
                <w:rFonts w:cstheme="minorHAnsi"/>
                <w:bCs/>
              </w:rPr>
            </w:pPr>
          </w:p>
          <w:p w14:paraId="4B01CF01" w14:textId="1C6EB944" w:rsidR="00BA25DD" w:rsidRDefault="00BA25DD" w:rsidP="006A01EA">
            <w:pPr>
              <w:rPr>
                <w:rFonts w:cstheme="minorHAnsi"/>
                <w:bCs/>
              </w:rPr>
            </w:pPr>
          </w:p>
          <w:p w14:paraId="09B2B08E" w14:textId="685762F3" w:rsidR="00BA25DD" w:rsidRDefault="00BA25DD" w:rsidP="006A01EA">
            <w:pPr>
              <w:rPr>
                <w:rFonts w:cstheme="minorHAnsi"/>
                <w:bCs/>
              </w:rPr>
            </w:pPr>
          </w:p>
          <w:p w14:paraId="5C07E96C" w14:textId="277E04D0" w:rsidR="00BA25DD" w:rsidRDefault="00BA25DD" w:rsidP="006A01EA">
            <w:pPr>
              <w:rPr>
                <w:rFonts w:cstheme="minorHAnsi"/>
                <w:bCs/>
              </w:rPr>
            </w:pPr>
          </w:p>
          <w:p w14:paraId="34F8F765" w14:textId="118E3D04" w:rsidR="00BA25DD" w:rsidRDefault="00BA25DD" w:rsidP="006A01EA">
            <w:pPr>
              <w:rPr>
                <w:rFonts w:cstheme="minorHAnsi"/>
                <w:bCs/>
              </w:rPr>
            </w:pPr>
          </w:p>
          <w:p w14:paraId="46DCB85E" w14:textId="3E8D88F0" w:rsidR="00BA25DD" w:rsidRDefault="00BA25DD" w:rsidP="006A01EA">
            <w:pPr>
              <w:rPr>
                <w:rFonts w:cstheme="minorHAnsi"/>
                <w:bCs/>
              </w:rPr>
            </w:pPr>
          </w:p>
          <w:p w14:paraId="53439EF3" w14:textId="59C68E6A" w:rsidR="00BA25DD" w:rsidRDefault="00BA25DD" w:rsidP="006A01EA">
            <w:pPr>
              <w:rPr>
                <w:rFonts w:cstheme="minorHAnsi"/>
                <w:bCs/>
              </w:rPr>
            </w:pPr>
          </w:p>
          <w:p w14:paraId="7D894780" w14:textId="0C5AC29F" w:rsidR="00BA25DD" w:rsidRDefault="00BA25DD" w:rsidP="006A01EA">
            <w:pPr>
              <w:rPr>
                <w:rFonts w:cstheme="minorHAnsi"/>
                <w:bCs/>
              </w:rPr>
            </w:pPr>
          </w:p>
          <w:p w14:paraId="211F51DC" w14:textId="2F10EE24" w:rsidR="00BA25DD" w:rsidRDefault="00BA25DD" w:rsidP="006A01EA">
            <w:pPr>
              <w:rPr>
                <w:rFonts w:cstheme="minorHAnsi"/>
                <w:bCs/>
              </w:rPr>
            </w:pPr>
          </w:p>
          <w:p w14:paraId="53EE5667" w14:textId="445CB6FA" w:rsidR="00BA25DD" w:rsidRDefault="00BA25DD" w:rsidP="006A01EA">
            <w:pPr>
              <w:rPr>
                <w:rFonts w:cstheme="minorHAnsi"/>
                <w:bCs/>
              </w:rPr>
            </w:pPr>
          </w:p>
          <w:p w14:paraId="2F7C0200" w14:textId="5D3F187B" w:rsidR="00BA25DD" w:rsidRDefault="00BA25DD" w:rsidP="006A01EA">
            <w:pPr>
              <w:rPr>
                <w:rFonts w:cstheme="minorHAnsi"/>
                <w:bCs/>
              </w:rPr>
            </w:pPr>
          </w:p>
          <w:p w14:paraId="28338FD1" w14:textId="1F3E181A" w:rsidR="00BA25DD" w:rsidRDefault="00F33188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EA57F0" wp14:editId="2C2F5FE9">
                      <wp:simplePos x="0" y="0"/>
                      <wp:positionH relativeFrom="column">
                        <wp:posOffset>155286</wp:posOffset>
                      </wp:positionH>
                      <wp:positionV relativeFrom="paragraph">
                        <wp:posOffset>173701</wp:posOffset>
                      </wp:positionV>
                      <wp:extent cx="5449455" cy="270510"/>
                      <wp:effectExtent l="0" t="0" r="0" b="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9455" cy="270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8CB36D" w14:textId="307F258B" w:rsidR="00BA25DD" w:rsidRPr="007D3158" w:rsidRDefault="00BA25DD" w:rsidP="00BA25D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3158">
                                    <w:rPr>
                                      <w:sz w:val="20"/>
                                      <w:szCs w:val="20"/>
                                    </w:rPr>
                                    <w:t>Abb.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: Gleichgewicht zwischen Methylblau und Methylblau-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Carbinol</w:t>
                                  </w:r>
                                  <w:proofErr w:type="spellEnd"/>
                                  <w:r w:rsidR="00F33188">
                                    <w:rPr>
                                      <w:sz w:val="20"/>
                                      <w:szCs w:val="20"/>
                                    </w:rPr>
                                    <w:t xml:space="preserve"> (selbst erstellte Graphik)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A57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12.25pt;margin-top:13.7pt;width:429.1pt;height:2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" fillcolor="white [3201]" stroked="f" strokeweight=".5pt">
                      <v:textbox>
                        <w:txbxContent>
                          <w:p w14:paraId="4C8CB36D" w14:textId="307F258B" w:rsidR="00BA25DD" w:rsidRPr="007D3158" w:rsidRDefault="00BA25DD" w:rsidP="00BA25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3158">
                              <w:rPr>
                                <w:sz w:val="20"/>
                                <w:szCs w:val="20"/>
                              </w:rPr>
                              <w:t>Abb.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 Gleichgewicht zwischen Methylblau und Methylblau-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Carbinol</w:t>
                            </w:r>
                            <w:proofErr w:type="spellEnd"/>
                            <w:r w:rsidR="00F33188">
                              <w:rPr>
                                <w:sz w:val="20"/>
                                <w:szCs w:val="20"/>
                              </w:rPr>
                              <w:t xml:space="preserve"> (selbst erstellte Graphik)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52E622" w14:textId="15815F9F" w:rsidR="00BA25DD" w:rsidRDefault="00BA25DD" w:rsidP="006A01EA">
            <w:pPr>
              <w:rPr>
                <w:rFonts w:cstheme="minorHAnsi"/>
                <w:bCs/>
              </w:rPr>
            </w:pPr>
          </w:p>
          <w:p w14:paraId="0E3AFD81" w14:textId="236A94AF" w:rsidR="00BA25DD" w:rsidRDefault="00BA25DD" w:rsidP="006A01EA">
            <w:pPr>
              <w:rPr>
                <w:rFonts w:cstheme="minorHAnsi"/>
                <w:bCs/>
              </w:rPr>
            </w:pPr>
          </w:p>
          <w:p w14:paraId="16745056" w14:textId="77777777" w:rsidR="00BA25DD" w:rsidRDefault="00BA25DD" w:rsidP="00BA25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Aldehyde können, wie das Methylblau,  Sulfit-Ionen addieren. Hierdurch wird aus dem olivgrünen Methylblau-</w:t>
            </w:r>
            <w:proofErr w:type="spellStart"/>
            <w:r>
              <w:rPr>
                <w:rFonts w:cstheme="minorHAnsi"/>
                <w:bCs/>
              </w:rPr>
              <w:t>Carbinol</w:t>
            </w:r>
            <w:proofErr w:type="spellEnd"/>
            <w:r>
              <w:rPr>
                <w:rFonts w:cstheme="minorHAnsi"/>
                <w:bCs/>
              </w:rPr>
              <w:t xml:space="preserve"> (II) durch Abspaltung des Sulfits das blaue Methylblau (I). Die nucleophile Addition der Aldehyde-Gruppe ist in Abbildung 2 dargestellt.</w:t>
            </w:r>
          </w:p>
          <w:p w14:paraId="35B28980" w14:textId="2A6C34B2" w:rsidR="00BA25DD" w:rsidRDefault="00BA25DD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w:drawing>
                <wp:anchor distT="0" distB="0" distL="114300" distR="114300" simplePos="0" relativeHeight="251677696" behindDoc="1" locked="0" layoutInCell="1" allowOverlap="1" wp14:anchorId="7CA1C935" wp14:editId="16E40891">
                  <wp:simplePos x="0" y="0"/>
                  <wp:positionH relativeFrom="column">
                    <wp:posOffset>-65024</wp:posOffset>
                  </wp:positionH>
                  <wp:positionV relativeFrom="paragraph">
                    <wp:posOffset>64923</wp:posOffset>
                  </wp:positionV>
                  <wp:extent cx="5760000" cy="1087200"/>
                  <wp:effectExtent l="0" t="0" r="0" b="0"/>
                  <wp:wrapTight wrapText="bothSides">
                    <wp:wrapPolygon edited="0">
                      <wp:start x="15575" y="2776"/>
                      <wp:lineTo x="5192" y="3533"/>
                      <wp:lineTo x="2143" y="4290"/>
                      <wp:lineTo x="2143" y="7318"/>
                      <wp:lineTo x="619" y="9589"/>
                      <wp:lineTo x="429" y="10093"/>
                      <wp:lineTo x="429" y="11607"/>
                      <wp:lineTo x="2191" y="15393"/>
                      <wp:lineTo x="2286" y="17159"/>
                      <wp:lineTo x="7716" y="18168"/>
                      <wp:lineTo x="15575" y="18673"/>
                      <wp:lineTo x="16051" y="18673"/>
                      <wp:lineTo x="16242" y="17916"/>
                      <wp:lineTo x="16194" y="16907"/>
                      <wp:lineTo x="15908" y="15393"/>
                      <wp:lineTo x="17004" y="15393"/>
                      <wp:lineTo x="20814" y="12364"/>
                      <wp:lineTo x="20814" y="11355"/>
                      <wp:lineTo x="21148" y="10093"/>
                      <wp:lineTo x="20528" y="8832"/>
                      <wp:lineTo x="16004" y="7318"/>
                      <wp:lineTo x="16194" y="4290"/>
                      <wp:lineTo x="16051" y="2776"/>
                      <wp:lineTo x="15575" y="2776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10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EC7A8E" w14:textId="3EBE6D19" w:rsidR="00BA25DD" w:rsidRDefault="00BA25DD" w:rsidP="006A01EA">
            <w:pPr>
              <w:rPr>
                <w:rFonts w:cstheme="minorHAnsi"/>
                <w:bCs/>
              </w:rPr>
            </w:pPr>
          </w:p>
          <w:p w14:paraId="53AA7A48" w14:textId="70A0B5B8" w:rsidR="00BA25DD" w:rsidRDefault="00BA25DD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E21E599" wp14:editId="6ADD85D2">
                      <wp:simplePos x="0" y="0"/>
                      <wp:positionH relativeFrom="column">
                        <wp:posOffset>155285</wp:posOffset>
                      </wp:positionH>
                      <wp:positionV relativeFrom="paragraph">
                        <wp:posOffset>647123</wp:posOffset>
                      </wp:positionV>
                      <wp:extent cx="5448935" cy="270663"/>
                      <wp:effectExtent l="0" t="0" r="0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8935" cy="2706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EEE122" w14:textId="0A92EE5B" w:rsidR="00BA25DD" w:rsidRPr="007D3158" w:rsidRDefault="00BA25DD" w:rsidP="00BA25D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3158">
                                    <w:rPr>
                                      <w:sz w:val="20"/>
                                      <w:szCs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2: Nucleophile Addition zwischen einem Aldehyd und dem Sulfit-Ion</w:t>
                                  </w:r>
                                  <w:r w:rsidR="00F33188">
                                    <w:rPr>
                                      <w:sz w:val="20"/>
                                      <w:szCs w:val="20"/>
                                    </w:rPr>
                                    <w:t xml:space="preserve"> (Selbst erstellte </w:t>
                                  </w:r>
                                  <w:r w:rsidR="00F33188">
                                    <w:rPr>
                                      <w:sz w:val="20"/>
                                      <w:szCs w:val="20"/>
                                    </w:rPr>
                                    <w:t>Graphik)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1E599" id="Textfeld 5" o:spid="_x0000_s1027" type="#_x0000_t202" style="position:absolute;margin-left:12.25pt;margin-top:50.95pt;width:429.05pt;height:2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" fillcolor="white [3201]" stroked="f" strokeweight=".5pt">
                      <v:textbox>
                        <w:txbxContent>
                          <w:p w14:paraId="44EEE122" w14:textId="0A92EE5B" w:rsidR="00BA25DD" w:rsidRPr="007D3158" w:rsidRDefault="00BA25DD" w:rsidP="00BA25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3158">
                              <w:rPr>
                                <w:sz w:val="20"/>
                                <w:szCs w:val="20"/>
                              </w:rPr>
                              <w:t xml:space="preserve">Abb.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2: Nucleophile Addition zwischen einem Aldehyd und dem Sulfit-Ion</w:t>
                            </w:r>
                            <w:r w:rsidR="00F33188">
                              <w:rPr>
                                <w:sz w:val="20"/>
                                <w:szCs w:val="20"/>
                              </w:rPr>
                              <w:t xml:space="preserve"> (Selbst erstellte </w:t>
                            </w:r>
                            <w:r w:rsidR="00F33188">
                              <w:rPr>
                                <w:sz w:val="20"/>
                                <w:szCs w:val="20"/>
                              </w:rPr>
                              <w:t>Graphik)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C7963F" w14:textId="3C4325A3" w:rsidR="00BA25DD" w:rsidRDefault="00BA25DD" w:rsidP="006A01EA">
            <w:pPr>
              <w:rPr>
                <w:rFonts w:cstheme="minorHAnsi"/>
                <w:bCs/>
              </w:rPr>
            </w:pPr>
          </w:p>
          <w:p w14:paraId="281BFC89" w14:textId="77777777" w:rsidR="00BA25DD" w:rsidRDefault="00BA25DD" w:rsidP="006A01EA">
            <w:pPr>
              <w:rPr>
                <w:rFonts w:cstheme="minorHAnsi"/>
                <w:bCs/>
              </w:rPr>
            </w:pPr>
          </w:p>
          <w:p w14:paraId="1BBBE230" w14:textId="54B3DE3F" w:rsidR="008F6DFD" w:rsidRPr="00F54B45" w:rsidRDefault="007D3158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Quelle: </w:t>
            </w:r>
            <w:r w:rsidR="006C3432" w:rsidRPr="007D3158">
              <w:rPr>
                <w:rStyle w:val="SchwacherVerweis"/>
                <w:color w:val="000000" w:themeColor="text1"/>
              </w:rPr>
              <w:t>Bertsche, I.</w:t>
            </w:r>
            <w:r>
              <w:rPr>
                <w:rStyle w:val="SchwacherVerweis"/>
                <w:color w:val="000000" w:themeColor="text1"/>
              </w:rPr>
              <w:t xml:space="preserve">; </w:t>
            </w:r>
            <w:proofErr w:type="spellStart"/>
            <w:r w:rsidR="006C3432" w:rsidRPr="007D3158">
              <w:rPr>
                <w:rFonts w:cstheme="minorHAnsi"/>
                <w:bCs/>
              </w:rPr>
              <w:t>Chemkon</w:t>
            </w:r>
            <w:proofErr w:type="spellEnd"/>
            <w:r w:rsidR="006C3432" w:rsidRPr="007D3158">
              <w:rPr>
                <w:rFonts w:cstheme="minorHAnsi"/>
                <w:bCs/>
              </w:rPr>
              <w:t xml:space="preserve"> (2017, 24, Nr. 2, 73-76).</w:t>
            </w:r>
          </w:p>
        </w:tc>
      </w:tr>
    </w:tbl>
    <w:p w14:paraId="70606D74" w14:textId="77777777" w:rsidR="00B00597" w:rsidRDefault="00B00597" w:rsidP="00AC124B">
      <w:pPr>
        <w:rPr>
          <w:b/>
        </w:rPr>
        <w:sectPr w:rsidR="00B00597" w:rsidSect="00897006">
          <w:headerReference w:type="default" r:id="rId11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6658290B" w:rsidR="00B03B85" w:rsidRPr="00BC072D" w:rsidRDefault="00B03B85" w:rsidP="00BA25DD"/>
    <w:sectPr w:rsidR="00B03B85" w:rsidRPr="00BC072D" w:rsidSect="00897006">
      <w:headerReference w:type="default" r:id="rId12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1906" w14:textId="77777777" w:rsidR="006F4167" w:rsidRDefault="006F4167" w:rsidP="00AA341A">
      <w:pPr>
        <w:spacing w:after="0" w:line="240" w:lineRule="auto"/>
      </w:pPr>
      <w:r>
        <w:separator/>
      </w:r>
    </w:p>
  </w:endnote>
  <w:endnote w:type="continuationSeparator" w:id="0">
    <w:p w14:paraId="151AA9E6" w14:textId="77777777" w:rsidR="006F4167" w:rsidRDefault="006F4167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0385" w14:textId="77777777" w:rsidR="006F4167" w:rsidRDefault="006F4167" w:rsidP="00AA341A">
      <w:pPr>
        <w:spacing w:after="0" w:line="240" w:lineRule="auto"/>
      </w:pPr>
      <w:r>
        <w:separator/>
      </w:r>
    </w:p>
  </w:footnote>
  <w:footnote w:type="continuationSeparator" w:id="0">
    <w:p w14:paraId="7435E7F3" w14:textId="77777777" w:rsidR="006F4167" w:rsidRDefault="006F4167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8" name="Grafik 8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390B" w14:textId="77777777" w:rsidR="00B00597" w:rsidRDefault="00B00597" w:rsidP="000208DF">
    <w:pPr>
      <w:pStyle w:val="Kopfzeile"/>
    </w:pPr>
  </w:p>
  <w:p w14:paraId="47582759" w14:textId="5674F6CD" w:rsidR="00B00597" w:rsidRDefault="00B00597" w:rsidP="000208DF">
    <w:pPr>
      <w:pStyle w:val="Kopfzeile"/>
    </w:pPr>
  </w:p>
  <w:p w14:paraId="1BEA5EB2" w14:textId="77777777" w:rsidR="00B00597" w:rsidRDefault="00B00597" w:rsidP="000208DF">
    <w:pPr>
      <w:pStyle w:val="Kopfzeile"/>
    </w:pPr>
  </w:p>
  <w:p w14:paraId="49421CFD" w14:textId="77777777" w:rsidR="00B00597" w:rsidRPr="00AA341A" w:rsidRDefault="00B00597" w:rsidP="00B00597">
    <w:pPr>
      <w:pStyle w:val="Kopfzeile"/>
      <w:tabs>
        <w:tab w:val="clear" w:pos="4536"/>
        <w:tab w:val="center" w:pos="6379"/>
      </w:tabs>
      <w:spacing w:after="12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47C1"/>
    <w:multiLevelType w:val="hybridMultilevel"/>
    <w:tmpl w:val="07DE4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3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2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580990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678B"/>
    <w:rsid w:val="0033008C"/>
    <w:rsid w:val="00337662"/>
    <w:rsid w:val="00342828"/>
    <w:rsid w:val="00366919"/>
    <w:rsid w:val="003719F7"/>
    <w:rsid w:val="00372DAE"/>
    <w:rsid w:val="00390283"/>
    <w:rsid w:val="00396F07"/>
    <w:rsid w:val="003B1F56"/>
    <w:rsid w:val="003D7171"/>
    <w:rsid w:val="003E5FA4"/>
    <w:rsid w:val="00402CFE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A609B"/>
    <w:rsid w:val="005D378E"/>
    <w:rsid w:val="005E0292"/>
    <w:rsid w:val="005E455D"/>
    <w:rsid w:val="005F55C9"/>
    <w:rsid w:val="00600211"/>
    <w:rsid w:val="00611F66"/>
    <w:rsid w:val="0066719D"/>
    <w:rsid w:val="00672441"/>
    <w:rsid w:val="006745AE"/>
    <w:rsid w:val="00680BDC"/>
    <w:rsid w:val="006851A5"/>
    <w:rsid w:val="0069091F"/>
    <w:rsid w:val="00697E2A"/>
    <w:rsid w:val="006A01EA"/>
    <w:rsid w:val="006B12B6"/>
    <w:rsid w:val="006C2465"/>
    <w:rsid w:val="006C3432"/>
    <w:rsid w:val="006E1BAD"/>
    <w:rsid w:val="006F4167"/>
    <w:rsid w:val="00703CFC"/>
    <w:rsid w:val="0071026A"/>
    <w:rsid w:val="00754352"/>
    <w:rsid w:val="00766475"/>
    <w:rsid w:val="0077018E"/>
    <w:rsid w:val="00773C84"/>
    <w:rsid w:val="00781D1E"/>
    <w:rsid w:val="007B4EFA"/>
    <w:rsid w:val="007C0C06"/>
    <w:rsid w:val="007C6B77"/>
    <w:rsid w:val="007D3158"/>
    <w:rsid w:val="007F002E"/>
    <w:rsid w:val="00833566"/>
    <w:rsid w:val="008466C6"/>
    <w:rsid w:val="008542F8"/>
    <w:rsid w:val="00881A80"/>
    <w:rsid w:val="00897006"/>
    <w:rsid w:val="008A67C7"/>
    <w:rsid w:val="008C2460"/>
    <w:rsid w:val="008E0710"/>
    <w:rsid w:val="008E3581"/>
    <w:rsid w:val="008F6DFD"/>
    <w:rsid w:val="00906AD0"/>
    <w:rsid w:val="00910D71"/>
    <w:rsid w:val="00927573"/>
    <w:rsid w:val="00965B94"/>
    <w:rsid w:val="00967AF8"/>
    <w:rsid w:val="009838CB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316B5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943"/>
    <w:rsid w:val="00AF3C1B"/>
    <w:rsid w:val="00B00597"/>
    <w:rsid w:val="00B03B85"/>
    <w:rsid w:val="00B15035"/>
    <w:rsid w:val="00B56796"/>
    <w:rsid w:val="00B62072"/>
    <w:rsid w:val="00B6251A"/>
    <w:rsid w:val="00B717F6"/>
    <w:rsid w:val="00B94792"/>
    <w:rsid w:val="00BA25DD"/>
    <w:rsid w:val="00BA5D53"/>
    <w:rsid w:val="00BC02BA"/>
    <w:rsid w:val="00BC072D"/>
    <w:rsid w:val="00BC324E"/>
    <w:rsid w:val="00BF0147"/>
    <w:rsid w:val="00C06566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CF2B69"/>
    <w:rsid w:val="00D2780B"/>
    <w:rsid w:val="00D64DD6"/>
    <w:rsid w:val="00D66102"/>
    <w:rsid w:val="00D80DC1"/>
    <w:rsid w:val="00DA112E"/>
    <w:rsid w:val="00DA11BB"/>
    <w:rsid w:val="00DF2094"/>
    <w:rsid w:val="00DF255F"/>
    <w:rsid w:val="00DF6826"/>
    <w:rsid w:val="00E35749"/>
    <w:rsid w:val="00E42B1B"/>
    <w:rsid w:val="00E819D2"/>
    <w:rsid w:val="00E82734"/>
    <w:rsid w:val="00EB46C2"/>
    <w:rsid w:val="00F157BE"/>
    <w:rsid w:val="00F31FE1"/>
    <w:rsid w:val="00F33188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character" w:styleId="SchwacherVerweis">
    <w:name w:val="Subtle Reference"/>
    <w:basedOn w:val="Absatz-Standardschriftart"/>
    <w:uiPriority w:val="31"/>
    <w:qFormat/>
    <w:rsid w:val="006C34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9</cp:revision>
  <dcterms:created xsi:type="dcterms:W3CDTF">2023-03-02T06:44:00Z</dcterms:created>
  <dcterms:modified xsi:type="dcterms:W3CDTF">2023-09-19T11:24:00Z</dcterms:modified>
</cp:coreProperties>
</file>