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90B6F" w14:paraId="051613D4" w14:textId="77777777" w:rsidTr="00CB453E">
        <w:tc>
          <w:tcPr>
            <w:tcW w:w="9062" w:type="dxa"/>
            <w:gridSpan w:val="2"/>
            <w:vAlign w:val="center"/>
          </w:tcPr>
          <w:p w14:paraId="484A34FA" w14:textId="1C91389F" w:rsidR="00C90B6F" w:rsidRDefault="00F54B45" w:rsidP="00CB453E">
            <w:pPr>
              <w:rPr>
                <w:b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58240" behindDoc="1" locked="0" layoutInCell="1" allowOverlap="1" wp14:anchorId="278716E2" wp14:editId="2DED6E61">
                  <wp:simplePos x="0" y="0"/>
                  <wp:positionH relativeFrom="column">
                    <wp:posOffset>4926965</wp:posOffset>
                  </wp:positionH>
                  <wp:positionV relativeFrom="paragraph">
                    <wp:posOffset>-4445</wp:posOffset>
                  </wp:positionV>
                  <wp:extent cx="813600" cy="576000"/>
                  <wp:effectExtent l="0" t="0" r="0" b="0"/>
                  <wp:wrapTight wrapText="bothSides">
                    <wp:wrapPolygon edited="0">
                      <wp:start x="0" y="0"/>
                      <wp:lineTo x="0" y="20957"/>
                      <wp:lineTo x="21246" y="20957"/>
                      <wp:lineTo x="21246" y="0"/>
                      <wp:lineTo x="0" y="0"/>
                    </wp:wrapPolygon>
                  </wp:wrapTight>
                  <wp:docPr id="4" name="Grafik 4" descr="Ein Bild, das Text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Grafik 4" descr="Ein Bild, das Text enthält.&#10;&#10;Automatisch generierte Beschreibu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3600" cy="57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B728360" w14:textId="790CA26C" w:rsidR="00C90B6F" w:rsidRPr="002A7444" w:rsidRDefault="00C90B6F" w:rsidP="00C90B6F">
            <w:pPr>
              <w:rPr>
                <w:b/>
                <w:sz w:val="28"/>
                <w:szCs w:val="28"/>
              </w:rPr>
            </w:pPr>
            <w:r w:rsidRPr="002A7444">
              <w:rPr>
                <w:b/>
                <w:sz w:val="28"/>
                <w:szCs w:val="28"/>
              </w:rPr>
              <w:t xml:space="preserve">Themenbereich: </w:t>
            </w:r>
            <w:r w:rsidR="00F54B45">
              <w:rPr>
                <w:b/>
                <w:sz w:val="28"/>
                <w:szCs w:val="28"/>
              </w:rPr>
              <w:t>Elektrochemie</w:t>
            </w:r>
            <w:r w:rsidR="00B717F6">
              <w:rPr>
                <w:b/>
                <w:sz w:val="28"/>
                <w:szCs w:val="28"/>
              </w:rPr>
              <w:t xml:space="preserve"> </w:t>
            </w:r>
            <w:r w:rsidR="00781D1E">
              <w:rPr>
                <w:b/>
                <w:sz w:val="28"/>
                <w:szCs w:val="28"/>
              </w:rPr>
              <w:t>L</w:t>
            </w:r>
            <w:r w:rsidR="00B717F6">
              <w:rPr>
                <w:b/>
                <w:sz w:val="28"/>
                <w:szCs w:val="28"/>
              </w:rPr>
              <w:t>F</w:t>
            </w:r>
          </w:p>
          <w:p w14:paraId="0326DDC2" w14:textId="77777777" w:rsidR="00C90B6F" w:rsidRPr="0004116C" w:rsidRDefault="00C90B6F" w:rsidP="00CB453E">
            <w:pPr>
              <w:rPr>
                <w:b/>
              </w:rPr>
            </w:pPr>
          </w:p>
        </w:tc>
      </w:tr>
      <w:tr w:rsidR="00C85463" w14:paraId="396BF2ED" w14:textId="77777777" w:rsidTr="007D3584">
        <w:tc>
          <w:tcPr>
            <w:tcW w:w="9062" w:type="dxa"/>
            <w:gridSpan w:val="2"/>
          </w:tcPr>
          <w:p w14:paraId="4932327D" w14:textId="77777777" w:rsidR="00C85463" w:rsidRDefault="00C85463" w:rsidP="0077018E">
            <w:pPr>
              <w:rPr>
                <w:b/>
              </w:rPr>
            </w:pPr>
          </w:p>
          <w:p w14:paraId="25C7B237" w14:textId="77777777" w:rsidR="00C85463" w:rsidRDefault="00C85463" w:rsidP="00B717F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Versuch: Elektrolyse auf dem Universalindikatorpapier</w:t>
            </w:r>
          </w:p>
          <w:p w14:paraId="2139973E" w14:textId="3E138644" w:rsidR="00C85463" w:rsidRPr="004C4C02" w:rsidRDefault="00C85463" w:rsidP="00B717F6">
            <w:pPr>
              <w:rPr>
                <w:b/>
                <w:bCs/>
                <w:sz w:val="28"/>
                <w:szCs w:val="28"/>
              </w:rPr>
            </w:pPr>
          </w:p>
        </w:tc>
      </w:tr>
      <w:tr w:rsidR="00E35749" w14:paraId="2F244A05" w14:textId="77777777" w:rsidTr="00CB453E">
        <w:tc>
          <w:tcPr>
            <w:tcW w:w="9062" w:type="dxa"/>
            <w:gridSpan w:val="2"/>
          </w:tcPr>
          <w:p w14:paraId="1AF5337E" w14:textId="77777777" w:rsidR="00E35749" w:rsidRDefault="00E35749" w:rsidP="00CB453E">
            <w:pPr>
              <w:rPr>
                <w:b/>
              </w:rPr>
            </w:pPr>
            <w:r w:rsidRPr="00047366">
              <w:rPr>
                <w:b/>
                <w:color w:val="00B0F0"/>
              </w:rPr>
              <w:t>Bildungsplanbezug</w:t>
            </w:r>
            <w:r>
              <w:rPr>
                <w:b/>
              </w:rPr>
              <w:br/>
              <w:t>Inhaltsbezogene Kompetenzen</w:t>
            </w:r>
          </w:p>
          <w:p w14:paraId="4BC5174E" w14:textId="139B5C6A" w:rsidR="00E35749" w:rsidRDefault="00E35749" w:rsidP="00CB453E">
            <w:r>
              <w:t>3.</w:t>
            </w:r>
            <w:r w:rsidR="000208DF">
              <w:t>4</w:t>
            </w:r>
            <w:r w:rsidR="00A02831">
              <w:t>.</w:t>
            </w:r>
            <w:r w:rsidR="00F54B45">
              <w:t>7</w:t>
            </w:r>
            <w:r>
              <w:t xml:space="preserve"> </w:t>
            </w:r>
            <w:r w:rsidR="00F54B45">
              <w:t>Elektrochemie</w:t>
            </w:r>
          </w:p>
          <w:p w14:paraId="31A75267" w14:textId="54554317" w:rsidR="00A02831" w:rsidRPr="00A02831" w:rsidRDefault="00A02831" w:rsidP="00A02831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A02831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r w:rsidR="00F54B45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A02831">
              <w:rPr>
                <w:rFonts w:asciiTheme="minorHAnsi" w:hAnsiTheme="minorHAnsi" w:cstheme="minorHAnsi"/>
                <w:sz w:val="22"/>
                <w:szCs w:val="22"/>
              </w:rPr>
              <w:t xml:space="preserve">) </w:t>
            </w:r>
            <w:r w:rsidR="00F54B45">
              <w:rPr>
                <w:rFonts w:asciiTheme="minorHAnsi" w:hAnsiTheme="minorHAnsi" w:cstheme="minorHAnsi"/>
                <w:sz w:val="22"/>
                <w:szCs w:val="22"/>
              </w:rPr>
              <w:t>die wesentlichen Prozesse in</w:t>
            </w:r>
            <w:r w:rsidR="000208DF">
              <w:rPr>
                <w:rFonts w:asciiTheme="minorHAnsi" w:hAnsiTheme="minorHAnsi" w:cstheme="minorHAnsi"/>
                <w:sz w:val="22"/>
                <w:szCs w:val="22"/>
              </w:rPr>
              <w:t xml:space="preserve"> […]</w:t>
            </w:r>
            <w:r w:rsidR="00F54B45">
              <w:rPr>
                <w:rFonts w:asciiTheme="minorHAnsi" w:hAnsiTheme="minorHAnsi" w:cstheme="minorHAnsi"/>
                <w:sz w:val="22"/>
                <w:szCs w:val="22"/>
              </w:rPr>
              <w:t xml:space="preserve"> Elektrolysezellen darstellen und vergleichen (Elektrodenreaktionen, Anode, Kathode […]</w:t>
            </w:r>
          </w:p>
          <w:p w14:paraId="3F0BAE57" w14:textId="77777777" w:rsidR="00E35749" w:rsidRPr="00342828" w:rsidRDefault="00E35749" w:rsidP="00CB453E">
            <w:pPr>
              <w:rPr>
                <w:b/>
              </w:rPr>
            </w:pPr>
          </w:p>
          <w:p w14:paraId="423AF7EE" w14:textId="77777777" w:rsidR="002E75BC" w:rsidRDefault="002E75BC" w:rsidP="002E75BC">
            <w:pPr>
              <w:rPr>
                <w:b/>
              </w:rPr>
            </w:pPr>
            <w:r>
              <w:rPr>
                <w:b/>
              </w:rPr>
              <w:t>Prozessbezogene Kompetenzen</w:t>
            </w:r>
          </w:p>
          <w:p w14:paraId="16D2B77A" w14:textId="3BB3AD59" w:rsidR="00F54B45" w:rsidRDefault="00F54B45" w:rsidP="002E75BC">
            <w:r>
              <w:t>2.1 Erkenntnisgewinnung</w:t>
            </w:r>
          </w:p>
          <w:p w14:paraId="770E1528" w14:textId="022F0126" w:rsidR="00F54B45" w:rsidRDefault="00F54B45" w:rsidP="002E75BC">
            <w:r>
              <w:t>(8) aus Einzelerkenntnissen Regeln ableiten und deren Gültigkeit überprüfen</w:t>
            </w:r>
          </w:p>
          <w:p w14:paraId="2D12B886" w14:textId="2F4C2275" w:rsidR="00F54B45" w:rsidRDefault="002E75BC" w:rsidP="002E75BC">
            <w:r w:rsidRPr="005045E7">
              <w:t>2.</w:t>
            </w:r>
            <w:r w:rsidR="00F54B45">
              <w:t>2</w:t>
            </w:r>
            <w:r w:rsidRPr="005045E7">
              <w:t xml:space="preserve"> </w:t>
            </w:r>
            <w:r w:rsidR="00F54B45">
              <w:t>Kommunikation</w:t>
            </w:r>
          </w:p>
          <w:p w14:paraId="6AC8A9BB" w14:textId="65FBA67D" w:rsidR="00E35749" w:rsidRPr="00CC74EC" w:rsidRDefault="002E75BC" w:rsidP="00F54B45">
            <w:r>
              <w:t>(</w:t>
            </w:r>
            <w:r w:rsidR="00F54B45">
              <w:t>4</w:t>
            </w:r>
            <w:r>
              <w:t>)</w:t>
            </w:r>
            <w:r w:rsidR="00F54B45">
              <w:t xml:space="preserve"> chemische Sachverhalte unter Verwendung der Fachsprache […] beschreiben […] oder erklären</w:t>
            </w:r>
          </w:p>
        </w:tc>
      </w:tr>
      <w:tr w:rsidR="00B717F6" w14:paraId="00B04E60" w14:textId="77777777" w:rsidTr="00375435">
        <w:tc>
          <w:tcPr>
            <w:tcW w:w="4531" w:type="dxa"/>
          </w:tcPr>
          <w:p w14:paraId="7049A8EE" w14:textId="436694D3" w:rsidR="00B717F6" w:rsidRDefault="00B717F6">
            <w:pPr>
              <w:rPr>
                <w:b/>
              </w:rPr>
            </w:pPr>
            <w:r>
              <w:rPr>
                <w:b/>
              </w:rPr>
              <w:t>Materialien:</w:t>
            </w:r>
          </w:p>
          <w:p w14:paraId="7C5C7028" w14:textId="29BEEFDD" w:rsidR="00B717F6" w:rsidRPr="0017173D" w:rsidRDefault="00F54B45" w:rsidP="00AC124B">
            <w:pPr>
              <w:pStyle w:val="Listenabsatz"/>
              <w:numPr>
                <w:ilvl w:val="0"/>
                <w:numId w:val="11"/>
              </w:numPr>
              <w:rPr>
                <w:bCs/>
              </w:rPr>
            </w:pPr>
            <w:r>
              <w:rPr>
                <w:bCs/>
              </w:rPr>
              <w:t>Universalindikator-Papier</w:t>
            </w:r>
          </w:p>
          <w:p w14:paraId="258E29D6" w14:textId="22936003" w:rsidR="00AC124B" w:rsidRPr="0017173D" w:rsidRDefault="00F54B45" w:rsidP="00AC124B">
            <w:pPr>
              <w:pStyle w:val="Listenabsatz"/>
              <w:numPr>
                <w:ilvl w:val="0"/>
                <w:numId w:val="11"/>
              </w:numPr>
              <w:rPr>
                <w:bCs/>
              </w:rPr>
            </w:pPr>
            <w:r>
              <w:rPr>
                <w:bCs/>
              </w:rPr>
              <w:t>Low-</w:t>
            </w:r>
            <w:proofErr w:type="spellStart"/>
            <w:r>
              <w:rPr>
                <w:bCs/>
              </w:rPr>
              <w:t>Cost</w:t>
            </w:r>
            <w:proofErr w:type="spellEnd"/>
            <w:r>
              <w:rPr>
                <w:bCs/>
              </w:rPr>
              <w:t>-Leitfähigkeitsprüfer</w:t>
            </w:r>
          </w:p>
          <w:p w14:paraId="56F98938" w14:textId="6AE6B690" w:rsidR="000208DF" w:rsidRPr="00F54B45" w:rsidRDefault="00F54B45" w:rsidP="00F54B45">
            <w:pPr>
              <w:pStyle w:val="Listenabsatz"/>
              <w:numPr>
                <w:ilvl w:val="0"/>
                <w:numId w:val="11"/>
              </w:numPr>
              <w:rPr>
                <w:b/>
              </w:rPr>
            </w:pPr>
            <w:r>
              <w:rPr>
                <w:bCs/>
              </w:rPr>
              <w:t>Objektträger</w:t>
            </w:r>
          </w:p>
        </w:tc>
        <w:tc>
          <w:tcPr>
            <w:tcW w:w="4531" w:type="dxa"/>
          </w:tcPr>
          <w:p w14:paraId="3242CFA9" w14:textId="3BD02C88" w:rsidR="00B717F6" w:rsidRPr="00B717F6" w:rsidRDefault="00B717F6">
            <w:pPr>
              <w:rPr>
                <w:b/>
                <w:bCs/>
              </w:rPr>
            </w:pPr>
            <w:r w:rsidRPr="00B717F6">
              <w:rPr>
                <w:b/>
                <w:bCs/>
              </w:rPr>
              <w:t>Chemikalien:</w:t>
            </w:r>
          </w:p>
          <w:p w14:paraId="77B7A62E" w14:textId="6F795992" w:rsidR="00B717F6" w:rsidRDefault="00F54B45" w:rsidP="00AC124B">
            <w:pPr>
              <w:pStyle w:val="Listenabsatz"/>
              <w:numPr>
                <w:ilvl w:val="0"/>
                <w:numId w:val="12"/>
              </w:numPr>
            </w:pPr>
            <w:r>
              <w:t>Kaliumnitrat-Lösung mit</w:t>
            </w:r>
            <w:r w:rsidR="000208DF">
              <w:t xml:space="preserve"> </w:t>
            </w:r>
            <w:r>
              <w:rPr>
                <w:i/>
                <w:iCs/>
              </w:rPr>
              <w:t>c</w:t>
            </w:r>
            <w:r w:rsidR="000208DF">
              <w:t> = </w:t>
            </w:r>
            <w:r>
              <w:t xml:space="preserve">2 </w:t>
            </w:r>
            <w:proofErr w:type="spellStart"/>
            <w:r>
              <w:t>mol</w:t>
            </w:r>
            <w:proofErr w:type="spellEnd"/>
            <w:r>
              <w:t>/L</w:t>
            </w:r>
          </w:p>
          <w:p w14:paraId="49FCC221" w14:textId="1D6E2D2D" w:rsidR="00AC124B" w:rsidRPr="00CC74EC" w:rsidRDefault="00AC124B" w:rsidP="00F54B45">
            <w:pPr>
              <w:pStyle w:val="Listenabsatz"/>
              <w:ind w:left="360"/>
            </w:pPr>
          </w:p>
        </w:tc>
      </w:tr>
      <w:tr w:rsidR="00AC124B" w14:paraId="0B739A06" w14:textId="77777777" w:rsidTr="00366919">
        <w:tc>
          <w:tcPr>
            <w:tcW w:w="9062" w:type="dxa"/>
            <w:gridSpan w:val="2"/>
          </w:tcPr>
          <w:p w14:paraId="3103150A" w14:textId="0B28C79B" w:rsidR="00AC124B" w:rsidRDefault="00AC124B" w:rsidP="00AC124B">
            <w:pPr>
              <w:rPr>
                <w:b/>
              </w:rPr>
            </w:pPr>
            <w:r>
              <w:rPr>
                <w:b/>
              </w:rPr>
              <w:t>Durchführung:</w:t>
            </w:r>
          </w:p>
          <w:p w14:paraId="614A37F2" w14:textId="41C21094" w:rsidR="00AC124B" w:rsidRDefault="00F54B45" w:rsidP="009C457C">
            <w:pPr>
              <w:pStyle w:val="Listenabsatz"/>
              <w:numPr>
                <w:ilvl w:val="0"/>
                <w:numId w:val="13"/>
              </w:numPr>
              <w:ind w:left="454" w:hanging="454"/>
              <w:rPr>
                <w:bCs/>
              </w:rPr>
            </w:pPr>
            <w:r>
              <w:rPr>
                <w:bCs/>
              </w:rPr>
              <w:t>Befeuchten Sie einen Streifen des Universal-Indikatorpapiers mit der Kaliumnitrat-Lösung</w:t>
            </w:r>
            <w:r w:rsidR="008542F8">
              <w:rPr>
                <w:bCs/>
              </w:rPr>
              <w:t>.</w:t>
            </w:r>
          </w:p>
          <w:p w14:paraId="4D02D19C" w14:textId="1795C648" w:rsidR="00F54B45" w:rsidRDefault="00F54B45" w:rsidP="009C457C">
            <w:pPr>
              <w:pStyle w:val="Listenabsatz"/>
              <w:numPr>
                <w:ilvl w:val="0"/>
                <w:numId w:val="13"/>
              </w:numPr>
              <w:ind w:left="454" w:hanging="454"/>
              <w:rPr>
                <w:bCs/>
              </w:rPr>
            </w:pPr>
            <w:r>
              <w:rPr>
                <w:bCs/>
              </w:rPr>
              <w:t>Legen Sie das angefeuchtete Indikatorpapier auf den Objektträger.</w:t>
            </w:r>
          </w:p>
          <w:p w14:paraId="45814652" w14:textId="0E851C52" w:rsidR="008542F8" w:rsidRPr="00F54B45" w:rsidRDefault="00F54B45" w:rsidP="00F54B45">
            <w:pPr>
              <w:pStyle w:val="Listenabsatz"/>
              <w:numPr>
                <w:ilvl w:val="0"/>
                <w:numId w:val="13"/>
              </w:numPr>
              <w:ind w:left="454" w:hanging="454"/>
              <w:rPr>
                <w:bCs/>
              </w:rPr>
            </w:pPr>
            <w:r>
              <w:rPr>
                <w:bCs/>
              </w:rPr>
              <w:t>Halten Sie die beiden Kontakte des Low-</w:t>
            </w:r>
            <w:proofErr w:type="spellStart"/>
            <w:r>
              <w:rPr>
                <w:bCs/>
              </w:rPr>
              <w:t>Cost</w:t>
            </w:r>
            <w:proofErr w:type="spellEnd"/>
            <w:r>
              <w:rPr>
                <w:bCs/>
              </w:rPr>
              <w:t>-Leitfähigkeitsprüfers auf das Indikatorpapier (nach Möglichkeit parallel zur Unterlage)</w:t>
            </w:r>
            <w:r w:rsidR="008542F8">
              <w:rPr>
                <w:bCs/>
              </w:rPr>
              <w:t>.</w:t>
            </w:r>
          </w:p>
        </w:tc>
      </w:tr>
      <w:tr w:rsidR="005E455D" w14:paraId="11E0FF4B" w14:textId="77777777" w:rsidTr="00366919">
        <w:tc>
          <w:tcPr>
            <w:tcW w:w="9062" w:type="dxa"/>
            <w:gridSpan w:val="2"/>
          </w:tcPr>
          <w:p w14:paraId="2D32A6F6" w14:textId="3C9DBDFB" w:rsidR="005E455D" w:rsidRDefault="009C457C" w:rsidP="00AC124B">
            <w:pPr>
              <w:rPr>
                <w:b/>
              </w:rPr>
            </w:pPr>
            <w:r>
              <w:rPr>
                <w:b/>
              </w:rPr>
              <w:t>Hinweise für die Lehrkraft</w:t>
            </w:r>
            <w:r w:rsidR="005E455D">
              <w:rPr>
                <w:b/>
              </w:rPr>
              <w:t>:</w:t>
            </w:r>
          </w:p>
          <w:p w14:paraId="0A8E1A1C" w14:textId="33554F63" w:rsidR="004C4C02" w:rsidRPr="004C4C02" w:rsidRDefault="004C4C02" w:rsidP="00AC124B">
            <w:pPr>
              <w:rPr>
                <w:bCs/>
              </w:rPr>
            </w:pPr>
            <w:r w:rsidRPr="004C4C02">
              <w:rPr>
                <w:bCs/>
              </w:rPr>
              <w:t>Bringt man die beiden Elektroden des Leitfähigkeitsprüfers näher zusammen (Abstand ca. 2 cm) so kann dieser Versuch auch mit Leitungswasser durchgeführt werden.</w:t>
            </w:r>
          </w:p>
          <w:p w14:paraId="3149AC37" w14:textId="77777777" w:rsidR="006851A5" w:rsidRDefault="00F54B45" w:rsidP="00AC124B">
            <w:pPr>
              <w:rPr>
                <w:bCs/>
              </w:rPr>
            </w:pPr>
            <w:r>
              <w:rPr>
                <w:bCs/>
              </w:rPr>
              <w:t>Am Minuspol des Leitfähigkeitsprüfers färbt sich das Indikatorpapier grün/blau:</w:t>
            </w:r>
          </w:p>
          <w:p w14:paraId="5046CEA6" w14:textId="280FFA67" w:rsidR="00F54B45" w:rsidRPr="00F54B45" w:rsidRDefault="00F54B45" w:rsidP="00F54B45">
            <w:pPr>
              <w:spacing w:before="120" w:after="120"/>
              <w:rPr>
                <w:rFonts w:eastAsiaTheme="minorEastAsia" w:cstheme="minorHAnsi"/>
                <w:bCs/>
              </w:rPr>
            </w:pPr>
            <m:oMathPara>
              <m:oMath>
                <m:r>
                  <m:rPr>
                    <m:nor/>
                  </m:rPr>
                  <w:rPr>
                    <w:rFonts w:cstheme="minorHAnsi"/>
                    <w:bCs/>
                  </w:rPr>
                  <m:t>2</m:t>
                </m:r>
                <m:r>
                  <w:rPr>
                    <w:rFonts w:ascii="Cambria Math" w:hAnsi="Cambria Math" w:cstheme="minorHAnsi"/>
                  </w:rPr>
                  <m:t xml:space="preserve"> </m:t>
                </m:r>
                <m:sSub>
                  <m:sSubPr>
                    <m:ctrlPr>
                      <w:rPr>
                        <w:rFonts w:ascii="Cambria Math" w:hAnsi="Cambria Math" w:cstheme="minorHAnsi"/>
                        <w:bCs/>
                        <w:i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rFonts w:cstheme="minorHAnsi"/>
                        <w:bCs/>
                      </w:rPr>
                      <m:t>H</m:t>
                    </m:r>
                  </m:e>
                  <m:sub>
                    <m:r>
                      <m:rPr>
                        <m:nor/>
                      </m:rPr>
                      <w:rPr>
                        <w:rFonts w:cstheme="minorHAnsi"/>
                        <w:bCs/>
                      </w:rPr>
                      <m:t>3</m:t>
                    </m:r>
                  </m:sub>
                </m:sSub>
                <m:sSup>
                  <m:sSupPr>
                    <m:ctrlPr>
                      <w:rPr>
                        <w:rFonts w:ascii="Cambria Math" w:hAnsi="Cambria Math" w:cstheme="minorHAnsi"/>
                        <w:bCs/>
                        <w:i/>
                      </w:rPr>
                    </m:ctrlPr>
                  </m:sSupPr>
                  <m:e>
                    <m:r>
                      <m:rPr>
                        <m:nor/>
                      </m:rPr>
                      <w:rPr>
                        <w:rFonts w:cstheme="minorHAnsi"/>
                        <w:bCs/>
                      </w:rPr>
                      <m:t>O</m:t>
                    </m:r>
                  </m:e>
                  <m:sup>
                    <m:r>
                      <m:rPr>
                        <m:nor/>
                      </m:rPr>
                      <w:rPr>
                        <w:rFonts w:cstheme="minorHAnsi"/>
                        <w:bCs/>
                      </w:rPr>
                      <m:t>+</m:t>
                    </m:r>
                  </m:sup>
                </m:sSup>
                <m:r>
                  <m:rPr>
                    <m:nor/>
                  </m:rPr>
                  <w:rPr>
                    <w:rFonts w:cstheme="minorHAnsi"/>
                    <w:bCs/>
                  </w:rPr>
                  <m:t>+2</m:t>
                </m:r>
                <m:r>
                  <w:rPr>
                    <w:rFonts w:ascii="Cambria Math" w:hAnsi="Cambria Math" w:cstheme="minorHAnsi"/>
                  </w:rPr>
                  <m:t xml:space="preserve"> </m:t>
                </m:r>
                <m:sSup>
                  <m:sSupPr>
                    <m:ctrlPr>
                      <w:rPr>
                        <w:rFonts w:ascii="Cambria Math" w:hAnsi="Cambria Math" w:cstheme="minorHAnsi"/>
                        <w:bCs/>
                        <w:i/>
                      </w:rPr>
                    </m:ctrlPr>
                  </m:sSupPr>
                  <m:e>
                    <m:r>
                      <m:rPr>
                        <m:nor/>
                      </m:rPr>
                      <w:rPr>
                        <w:rFonts w:cstheme="minorHAnsi"/>
                        <w:bCs/>
                      </w:rPr>
                      <m:t>e</m:t>
                    </m:r>
                  </m:e>
                  <m:sup>
                    <m:r>
                      <m:rPr>
                        <m:nor/>
                      </m:rPr>
                      <w:rPr>
                        <w:rFonts w:cstheme="minorHAnsi"/>
                        <w:bCs/>
                      </w:rPr>
                      <m:t>-</m:t>
                    </m:r>
                  </m:sup>
                </m:sSup>
                <m:r>
                  <m:rPr>
                    <m:nor/>
                  </m:rPr>
                  <w:rPr>
                    <w:rFonts w:cstheme="minorHAnsi"/>
                    <w:bCs/>
                  </w:rPr>
                  <m:t xml:space="preserve"> →</m:t>
                </m:r>
                <m:r>
                  <w:rPr>
                    <w:rFonts w:ascii="Cambria Math" w:hAnsi="Cambria Math" w:cstheme="minorHAnsi"/>
                  </w:rPr>
                  <m:t xml:space="preserve"> </m:t>
                </m:r>
                <m:sSub>
                  <m:sSubPr>
                    <m:ctrlPr>
                      <w:rPr>
                        <w:rFonts w:ascii="Cambria Math" w:hAnsi="Cambria Math" w:cstheme="minorHAnsi"/>
                        <w:bCs/>
                        <w:i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rFonts w:cstheme="minorHAnsi"/>
                        <w:bCs/>
                      </w:rPr>
                      <m:t>H</m:t>
                    </m:r>
                  </m:e>
                  <m:sub>
                    <m:r>
                      <m:rPr>
                        <m:nor/>
                      </m:rPr>
                      <w:rPr>
                        <w:rFonts w:cstheme="minorHAnsi"/>
                        <w:bCs/>
                      </w:rPr>
                      <m:t>2</m:t>
                    </m:r>
                  </m:sub>
                </m:sSub>
                <m:r>
                  <m:rPr>
                    <m:nor/>
                  </m:rPr>
                  <w:rPr>
                    <w:rFonts w:ascii="Cambria Math" w:cstheme="minorHAnsi"/>
                    <w:bCs/>
                  </w:rPr>
                  <m:t xml:space="preserve"> </m:t>
                </m:r>
                <m:r>
                  <m:rPr>
                    <m:nor/>
                  </m:rPr>
                  <w:rPr>
                    <w:rFonts w:cstheme="minorHAnsi"/>
                    <w:bCs/>
                  </w:rPr>
                  <m:t>+</m:t>
                </m:r>
                <m:r>
                  <w:rPr>
                    <w:rFonts w:ascii="Cambria Math" w:hAnsi="Cambria Math" w:cstheme="minorHAnsi"/>
                  </w:rPr>
                  <m:t xml:space="preserve"> </m:t>
                </m:r>
                <m:sSub>
                  <m:sSubPr>
                    <m:ctrlPr>
                      <w:rPr>
                        <w:rFonts w:ascii="Cambria Math" w:hAnsi="Cambria Math" w:cstheme="minorHAnsi"/>
                        <w:bCs/>
                        <w:i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rFonts w:cstheme="minorHAnsi"/>
                        <w:bCs/>
                      </w:rPr>
                      <m:t>H</m:t>
                    </m:r>
                  </m:e>
                  <m:sub>
                    <m:r>
                      <m:rPr>
                        <m:nor/>
                      </m:rPr>
                      <w:rPr>
                        <w:rFonts w:cstheme="minorHAnsi"/>
                        <w:bCs/>
                      </w:rPr>
                      <m:t>2</m:t>
                    </m:r>
                  </m:sub>
                </m:sSub>
                <m:r>
                  <m:rPr>
                    <m:nor/>
                  </m:rPr>
                  <w:rPr>
                    <w:rFonts w:cstheme="minorHAnsi"/>
                    <w:bCs/>
                  </w:rPr>
                  <m:t>O</m:t>
                </m:r>
              </m:oMath>
            </m:oMathPara>
          </w:p>
          <w:p w14:paraId="1A00A57E" w14:textId="492E7814" w:rsidR="00F54B45" w:rsidRDefault="00F54B45" w:rsidP="00F54B45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Damit ist um den Minuspol die OH</w:t>
            </w:r>
            <w:r w:rsidRPr="00F54B45">
              <w:rPr>
                <w:rFonts w:cstheme="minorHAnsi"/>
                <w:bCs/>
                <w:vertAlign w:val="superscript"/>
              </w:rPr>
              <w:t>-</w:t>
            </w:r>
            <w:r>
              <w:rPr>
                <w:rFonts w:cstheme="minorHAnsi"/>
                <w:bCs/>
              </w:rPr>
              <w:t>-Ionen Konzentration größer als die H</w:t>
            </w:r>
            <w:r w:rsidRPr="00F54B45">
              <w:rPr>
                <w:rFonts w:cstheme="minorHAnsi"/>
                <w:bCs/>
                <w:vertAlign w:val="subscript"/>
              </w:rPr>
              <w:t>3</w:t>
            </w:r>
            <w:r>
              <w:rPr>
                <w:rFonts w:cstheme="minorHAnsi"/>
                <w:bCs/>
              </w:rPr>
              <w:t>O</w:t>
            </w:r>
            <w:r w:rsidRPr="00F54B45">
              <w:rPr>
                <w:rFonts w:cstheme="minorHAnsi"/>
                <w:bCs/>
                <w:vertAlign w:val="superscript"/>
              </w:rPr>
              <w:t>+</w:t>
            </w:r>
            <w:r>
              <w:rPr>
                <w:rFonts w:cstheme="minorHAnsi"/>
                <w:bCs/>
              </w:rPr>
              <w:t>-Ionen Konzentration und die Lösung wird alkalisch.</w:t>
            </w:r>
          </w:p>
          <w:p w14:paraId="16C16126" w14:textId="661DEDE8" w:rsidR="00F54B45" w:rsidRDefault="00F54B45" w:rsidP="00F54B45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Am Minuspol findet also die Reduktion statt, es handelt sich um die Kathode.</w:t>
            </w:r>
          </w:p>
          <w:p w14:paraId="25D99C94" w14:textId="46EAACCB" w:rsidR="00F54B45" w:rsidRDefault="00F54B45" w:rsidP="00F54B45">
            <w:pPr>
              <w:rPr>
                <w:bCs/>
              </w:rPr>
            </w:pPr>
            <w:r>
              <w:rPr>
                <w:bCs/>
              </w:rPr>
              <w:t>Am Pluspol des Leitfähigkeitsprüfers färbt sich das Indikatorpapier orange/rot:</w:t>
            </w:r>
          </w:p>
          <w:p w14:paraId="2858B062" w14:textId="412EBE81" w:rsidR="00F54B45" w:rsidRPr="00F54B45" w:rsidRDefault="00F54B45" w:rsidP="00F54B45">
            <w:pPr>
              <w:spacing w:before="120" w:after="120"/>
              <w:rPr>
                <w:rFonts w:eastAsiaTheme="minorEastAsia" w:cstheme="minorHAnsi"/>
                <w:bCs/>
              </w:rPr>
            </w:pPr>
            <m:oMathPara>
              <m:oMath>
                <m:r>
                  <m:rPr>
                    <m:nor/>
                  </m:rPr>
                  <w:rPr>
                    <w:rFonts w:cstheme="minorHAnsi"/>
                    <w:bCs/>
                  </w:rPr>
                  <m:t>4</m:t>
                </m:r>
                <m:r>
                  <w:rPr>
                    <w:rFonts w:ascii="Cambria Math" w:hAnsi="Cambria Math" w:cstheme="minorHAnsi"/>
                  </w:rPr>
                  <m:t xml:space="preserve"> </m:t>
                </m:r>
                <m:sSup>
                  <m:sSupPr>
                    <m:ctrlPr>
                      <w:rPr>
                        <w:rFonts w:ascii="Cambria Math" w:hAnsi="Cambria Math" w:cstheme="minorHAnsi"/>
                        <w:bCs/>
                        <w:i/>
                      </w:rPr>
                    </m:ctrlPr>
                  </m:sSupPr>
                  <m:e>
                    <m:r>
                      <m:rPr>
                        <m:nor/>
                      </m:rPr>
                      <w:rPr>
                        <w:rFonts w:cstheme="minorHAnsi"/>
                        <w:bCs/>
                      </w:rPr>
                      <m:t>OH</m:t>
                    </m:r>
                  </m:e>
                  <m:sup>
                    <m:r>
                      <m:rPr>
                        <m:nor/>
                      </m:rPr>
                      <w:rPr>
                        <w:rFonts w:cstheme="minorHAnsi"/>
                        <w:bCs/>
                      </w:rPr>
                      <m:t>-</m:t>
                    </m:r>
                  </m:sup>
                </m:sSup>
                <m:r>
                  <m:rPr>
                    <m:nor/>
                  </m:rPr>
                  <w:rPr>
                    <w:rFonts w:cstheme="minorHAnsi"/>
                    <w:bCs/>
                  </w:rPr>
                  <m:t xml:space="preserve"> →</m:t>
                </m:r>
                <m:r>
                  <w:rPr>
                    <w:rFonts w:ascii="Cambria Math" w:hAnsi="Cambria Math" w:cstheme="minorHAnsi"/>
                  </w:rPr>
                  <m:t xml:space="preserve"> </m:t>
                </m:r>
                <m:sSub>
                  <m:sSubPr>
                    <m:ctrlPr>
                      <w:rPr>
                        <w:rFonts w:ascii="Cambria Math" w:hAnsi="Cambria Math" w:cstheme="minorHAnsi"/>
                        <w:bCs/>
                        <w:i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rFonts w:cstheme="minorHAnsi"/>
                        <w:bCs/>
                      </w:rPr>
                      <m:t>O</m:t>
                    </m:r>
                  </m:e>
                  <m:sub>
                    <m:r>
                      <m:rPr>
                        <m:nor/>
                      </m:rPr>
                      <w:rPr>
                        <w:rFonts w:cstheme="minorHAnsi"/>
                        <w:bCs/>
                      </w:rPr>
                      <m:t>2</m:t>
                    </m:r>
                  </m:sub>
                </m:sSub>
                <m:r>
                  <m:rPr>
                    <m:nor/>
                  </m:rPr>
                  <w:rPr>
                    <w:rFonts w:ascii="Cambria Math" w:cstheme="minorHAnsi"/>
                    <w:bCs/>
                  </w:rPr>
                  <m:t xml:space="preserve"> </m:t>
                </m:r>
                <m:r>
                  <m:rPr>
                    <m:nor/>
                  </m:rPr>
                  <w:rPr>
                    <w:rFonts w:cstheme="minorHAnsi"/>
                    <w:bCs/>
                  </w:rPr>
                  <m:t>+</m:t>
                </m:r>
                <m:r>
                  <w:rPr>
                    <w:rFonts w:ascii="Cambria Math" w:hAnsi="Cambria Math" w:cstheme="minorHAnsi"/>
                  </w:rPr>
                  <m:t xml:space="preserve"> </m:t>
                </m:r>
                <m:sSub>
                  <m:sSubPr>
                    <m:ctrlPr>
                      <w:rPr>
                        <w:rFonts w:ascii="Cambria Math" w:hAnsi="Cambria Math" w:cstheme="minorHAnsi"/>
                        <w:bCs/>
                        <w:i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rFonts w:ascii="Cambria Math" w:cstheme="minorHAnsi"/>
                        <w:bCs/>
                      </w:rPr>
                      <m:t xml:space="preserve">2 </m:t>
                    </m:r>
                    <m:r>
                      <m:rPr>
                        <m:nor/>
                      </m:rPr>
                      <w:rPr>
                        <w:rFonts w:cstheme="minorHAnsi"/>
                        <w:bCs/>
                      </w:rPr>
                      <m:t>H</m:t>
                    </m:r>
                  </m:e>
                  <m:sub>
                    <m:r>
                      <m:rPr>
                        <m:nor/>
                      </m:rPr>
                      <w:rPr>
                        <w:rFonts w:cstheme="minorHAnsi"/>
                        <w:bCs/>
                      </w:rPr>
                      <m:t>2</m:t>
                    </m:r>
                  </m:sub>
                </m:sSub>
                <m:r>
                  <m:rPr>
                    <m:nor/>
                  </m:rPr>
                  <w:rPr>
                    <w:rFonts w:cstheme="minorHAnsi"/>
                    <w:bCs/>
                  </w:rPr>
                  <m:t>O</m:t>
                </m:r>
                <m:r>
                  <m:rPr>
                    <m:nor/>
                  </m:rPr>
                  <w:rPr>
                    <w:rFonts w:ascii="Cambria Math" w:cstheme="minorHAnsi"/>
                    <w:bCs/>
                  </w:rPr>
                  <m:t xml:space="preserve"> </m:t>
                </m:r>
                <m:r>
                  <m:rPr>
                    <m:nor/>
                  </m:rPr>
                  <w:rPr>
                    <w:rFonts w:cstheme="minorHAnsi"/>
                    <w:bCs/>
                  </w:rPr>
                  <m:t>+</m:t>
                </m:r>
                <m:r>
                  <m:rPr>
                    <m:nor/>
                  </m:rPr>
                  <w:rPr>
                    <w:rFonts w:ascii="Cambria Math" w:cstheme="minorHAnsi"/>
                    <w:bCs/>
                  </w:rPr>
                  <m:t xml:space="preserve"> </m:t>
                </m:r>
                <m:r>
                  <m:rPr>
                    <m:nor/>
                  </m:rPr>
                  <w:rPr>
                    <w:rFonts w:cstheme="minorHAnsi"/>
                    <w:bCs/>
                  </w:rPr>
                  <m:t>4</m:t>
                </m:r>
                <m:r>
                  <w:rPr>
                    <w:rFonts w:ascii="Cambria Math" w:hAnsi="Cambria Math" w:cstheme="minorHAnsi"/>
                  </w:rPr>
                  <m:t xml:space="preserve"> </m:t>
                </m:r>
                <m:sSup>
                  <m:sSupPr>
                    <m:ctrlPr>
                      <w:rPr>
                        <w:rFonts w:ascii="Cambria Math" w:hAnsi="Cambria Math" w:cstheme="minorHAnsi"/>
                        <w:bCs/>
                        <w:i/>
                      </w:rPr>
                    </m:ctrlPr>
                  </m:sSupPr>
                  <m:e>
                    <m:r>
                      <m:rPr>
                        <m:nor/>
                      </m:rPr>
                      <w:rPr>
                        <w:rFonts w:cstheme="minorHAnsi"/>
                        <w:bCs/>
                      </w:rPr>
                      <m:t>e</m:t>
                    </m:r>
                  </m:e>
                  <m:sup>
                    <m:r>
                      <m:rPr>
                        <m:nor/>
                      </m:rPr>
                      <w:rPr>
                        <w:rFonts w:cstheme="minorHAnsi"/>
                        <w:bCs/>
                      </w:rPr>
                      <m:t>-</m:t>
                    </m:r>
                  </m:sup>
                </m:sSup>
              </m:oMath>
            </m:oMathPara>
          </w:p>
          <w:p w14:paraId="330233CC" w14:textId="77777777" w:rsidR="00F54B45" w:rsidRDefault="00F54B45" w:rsidP="00F54B45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Damit ist um den Pluspol die H</w:t>
            </w:r>
            <w:r w:rsidRPr="00F54B45">
              <w:rPr>
                <w:rFonts w:cstheme="minorHAnsi"/>
                <w:bCs/>
                <w:vertAlign w:val="subscript"/>
              </w:rPr>
              <w:t>3</w:t>
            </w:r>
            <w:r>
              <w:rPr>
                <w:rFonts w:cstheme="minorHAnsi"/>
                <w:bCs/>
              </w:rPr>
              <w:t>O</w:t>
            </w:r>
            <w:r w:rsidRPr="00F54B45">
              <w:rPr>
                <w:rFonts w:cstheme="minorHAnsi"/>
                <w:bCs/>
                <w:vertAlign w:val="superscript"/>
              </w:rPr>
              <w:t>+</w:t>
            </w:r>
            <w:r>
              <w:rPr>
                <w:rFonts w:cstheme="minorHAnsi"/>
                <w:bCs/>
              </w:rPr>
              <w:t>-Ionen Konzentration größer als die OH</w:t>
            </w:r>
            <w:r w:rsidRPr="00F54B45">
              <w:rPr>
                <w:rFonts w:cstheme="minorHAnsi"/>
                <w:bCs/>
                <w:vertAlign w:val="superscript"/>
              </w:rPr>
              <w:t>-</w:t>
            </w:r>
            <w:r>
              <w:rPr>
                <w:rFonts w:cstheme="minorHAnsi"/>
                <w:bCs/>
              </w:rPr>
              <w:t>-Ionen Konzentration und die Lösung wird sauer.</w:t>
            </w:r>
          </w:p>
          <w:p w14:paraId="1BBBE230" w14:textId="39E37278" w:rsidR="00F54B45" w:rsidRPr="00F54B45" w:rsidRDefault="00F54B45" w:rsidP="00F54B45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Am Pluspol findet also die Oxidation statt, es handelt sich um die Anode</w:t>
            </w:r>
          </w:p>
        </w:tc>
      </w:tr>
    </w:tbl>
    <w:p w14:paraId="5F8C1684" w14:textId="77777777" w:rsidR="00B03B85" w:rsidRPr="00BC072D" w:rsidRDefault="00B03B85" w:rsidP="00210E5B"/>
    <w:sectPr w:rsidR="00B03B85" w:rsidRPr="00BC072D" w:rsidSect="00897006">
      <w:headerReference w:type="default" r:id="rId9"/>
      <w:pgSz w:w="11906" w:h="16838"/>
      <w:pgMar w:top="815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0C1955" w14:textId="77777777" w:rsidR="00E81148" w:rsidRDefault="00E81148" w:rsidP="00AA341A">
      <w:pPr>
        <w:spacing w:after="0" w:line="240" w:lineRule="auto"/>
      </w:pPr>
      <w:r>
        <w:separator/>
      </w:r>
    </w:p>
  </w:endnote>
  <w:endnote w:type="continuationSeparator" w:id="0">
    <w:p w14:paraId="54BB90E8" w14:textId="77777777" w:rsidR="00E81148" w:rsidRDefault="00E81148" w:rsidP="00AA34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DCF7AF" w14:textId="77777777" w:rsidR="00E81148" w:rsidRDefault="00E81148" w:rsidP="00AA341A">
      <w:pPr>
        <w:spacing w:after="0" w:line="240" w:lineRule="auto"/>
      </w:pPr>
      <w:r>
        <w:separator/>
      </w:r>
    </w:p>
  </w:footnote>
  <w:footnote w:type="continuationSeparator" w:id="0">
    <w:p w14:paraId="0E66F0C7" w14:textId="77777777" w:rsidR="00E81148" w:rsidRDefault="00E81148" w:rsidP="00AA34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841DB0" w14:textId="62925B15" w:rsidR="000208DF" w:rsidRDefault="000208DF" w:rsidP="000208DF">
    <w:pPr>
      <w:pStyle w:val="Kopfzeile"/>
    </w:pPr>
  </w:p>
  <w:p w14:paraId="6A73D5A8" w14:textId="77777777" w:rsidR="000208DF" w:rsidRDefault="000208DF" w:rsidP="000208DF">
    <w:pPr>
      <w:pStyle w:val="Kopfzeile"/>
    </w:pPr>
    <w:r>
      <w:rPr>
        <w:noProof/>
        <w:lang w:eastAsia="de-DE"/>
      </w:rPr>
      <w:drawing>
        <wp:anchor distT="36195" distB="71755" distL="114300" distR="114300" simplePos="0" relativeHeight="251659264" behindDoc="0" locked="0" layoutInCell="1" allowOverlap="1" wp14:anchorId="0AC3B18D" wp14:editId="107F34CF">
          <wp:simplePos x="0" y="0"/>
          <wp:positionH relativeFrom="column">
            <wp:posOffset>0</wp:posOffset>
          </wp:positionH>
          <wp:positionV relativeFrom="paragraph">
            <wp:posOffset>125877</wp:posOffset>
          </wp:positionV>
          <wp:extent cx="870585" cy="518160"/>
          <wp:effectExtent l="0" t="0" r="5715" b="2540"/>
          <wp:wrapSquare wrapText="bothSides"/>
          <wp:docPr id="5" name="Grafik 5" descr="Ein Bild, das Küchengeräte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Grafik 5" descr="Ein Bild, das Küchengeräte enthält.&#10;&#10;Automatisch generierte Beschreibu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0585" cy="518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8D87D5F" w14:textId="77777777" w:rsidR="000208DF" w:rsidRDefault="000208DF" w:rsidP="000208DF">
    <w:pPr>
      <w:pStyle w:val="Kopfzeile"/>
    </w:pPr>
  </w:p>
  <w:p w14:paraId="244EA292" w14:textId="77777777" w:rsidR="000208DF" w:rsidRPr="0033008C" w:rsidRDefault="000208DF" w:rsidP="000208DF">
    <w:pPr>
      <w:pStyle w:val="Kopfzeile"/>
      <w:tabs>
        <w:tab w:val="clear" w:pos="4536"/>
        <w:tab w:val="center" w:pos="6379"/>
      </w:tabs>
      <w:jc w:val="right"/>
    </w:pPr>
    <w:r w:rsidRPr="0033008C">
      <w:rPr>
        <w:sz w:val="28"/>
        <w:szCs w:val="28"/>
      </w:rPr>
      <w:tab/>
      <w:t>Fortbildung zum Bildungsplan 2016.V2 Chemie</w:t>
    </w:r>
    <w:r w:rsidRPr="0033008C">
      <w:tab/>
    </w:r>
  </w:p>
  <w:p w14:paraId="21118212" w14:textId="35BB8478" w:rsidR="000208DF" w:rsidRPr="00C06566" w:rsidRDefault="000208DF" w:rsidP="00C06566">
    <w:pPr>
      <w:pStyle w:val="Kopfzeile"/>
      <w:tabs>
        <w:tab w:val="clear" w:pos="4536"/>
        <w:tab w:val="center" w:pos="9072"/>
      </w:tabs>
      <w:spacing w:after="120"/>
      <w:ind w:left="1418"/>
      <w:rPr>
        <w:color w:val="00B0F0"/>
        <w:sz w:val="10"/>
        <w:szCs w:val="10"/>
        <w:u w:val="thick"/>
      </w:rPr>
    </w:pPr>
    <w:r w:rsidRPr="0033008C">
      <w:rPr>
        <w:color w:val="00B0F0"/>
        <w:u w:val="thick"/>
      </w:rPr>
      <w:tab/>
    </w:r>
  </w:p>
  <w:p w14:paraId="6F7FFA36" w14:textId="77777777" w:rsidR="00AA341A" w:rsidRPr="00AA341A" w:rsidRDefault="00AA341A" w:rsidP="00AA341A">
    <w:pPr>
      <w:pStyle w:val="Kopfzeile"/>
      <w:tabs>
        <w:tab w:val="clear" w:pos="4536"/>
        <w:tab w:val="center" w:pos="6379"/>
      </w:tabs>
      <w:spacing w:after="120"/>
      <w:jc w:val="right"/>
      <w:rPr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16EC1"/>
    <w:multiLevelType w:val="hybridMultilevel"/>
    <w:tmpl w:val="19B0C84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456287"/>
    <w:multiLevelType w:val="hybridMultilevel"/>
    <w:tmpl w:val="5D781D86"/>
    <w:lvl w:ilvl="0" w:tplc="70D4DD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6473953"/>
    <w:multiLevelType w:val="multilevel"/>
    <w:tmpl w:val="DB90A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2C2ABB"/>
    <w:multiLevelType w:val="hybridMultilevel"/>
    <w:tmpl w:val="37B68F1A"/>
    <w:lvl w:ilvl="0" w:tplc="943063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358508A"/>
    <w:multiLevelType w:val="hybridMultilevel"/>
    <w:tmpl w:val="2AB01D4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AE7E8F"/>
    <w:multiLevelType w:val="hybridMultilevel"/>
    <w:tmpl w:val="623AB9AE"/>
    <w:lvl w:ilvl="0" w:tplc="F316319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9A55AD"/>
    <w:multiLevelType w:val="hybridMultilevel"/>
    <w:tmpl w:val="4D424F94"/>
    <w:lvl w:ilvl="0" w:tplc="25CEB5F8">
      <w:start w:val="1"/>
      <w:numFmt w:val="bullet"/>
      <w:lvlText w:val="o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4A516BA"/>
    <w:multiLevelType w:val="hybridMultilevel"/>
    <w:tmpl w:val="304A05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D34950"/>
    <w:multiLevelType w:val="hybridMultilevel"/>
    <w:tmpl w:val="A7F86A66"/>
    <w:lvl w:ilvl="0" w:tplc="25CEB5F8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DF0AA9"/>
    <w:multiLevelType w:val="hybridMultilevel"/>
    <w:tmpl w:val="82580DF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117377"/>
    <w:multiLevelType w:val="hybridMultilevel"/>
    <w:tmpl w:val="C07A82B0"/>
    <w:lvl w:ilvl="0" w:tplc="25CEB5F8">
      <w:start w:val="1"/>
      <w:numFmt w:val="bullet"/>
      <w:lvlText w:val="o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6FD2B28"/>
    <w:multiLevelType w:val="hybridMultilevel"/>
    <w:tmpl w:val="9842830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8D27F4"/>
    <w:multiLevelType w:val="multilevel"/>
    <w:tmpl w:val="D63C6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36655231">
    <w:abstractNumId w:val="12"/>
  </w:num>
  <w:num w:numId="2" w16cid:durableId="1539390336">
    <w:abstractNumId w:val="2"/>
  </w:num>
  <w:num w:numId="3" w16cid:durableId="1125153916">
    <w:abstractNumId w:val="11"/>
  </w:num>
  <w:num w:numId="4" w16cid:durableId="1773283098">
    <w:abstractNumId w:val="4"/>
  </w:num>
  <w:num w:numId="5" w16cid:durableId="1333412425">
    <w:abstractNumId w:val="0"/>
  </w:num>
  <w:num w:numId="6" w16cid:durableId="426003783">
    <w:abstractNumId w:val="7"/>
  </w:num>
  <w:num w:numId="7" w16cid:durableId="2033921256">
    <w:abstractNumId w:val="9"/>
  </w:num>
  <w:num w:numId="8" w16cid:durableId="1540628023">
    <w:abstractNumId w:val="3"/>
  </w:num>
  <w:num w:numId="9" w16cid:durableId="1427576644">
    <w:abstractNumId w:val="1"/>
  </w:num>
  <w:num w:numId="10" w16cid:durableId="2118014353">
    <w:abstractNumId w:val="8"/>
  </w:num>
  <w:num w:numId="11" w16cid:durableId="666400368">
    <w:abstractNumId w:val="10"/>
  </w:num>
  <w:num w:numId="12" w16cid:durableId="751708527">
    <w:abstractNumId w:val="6"/>
  </w:num>
  <w:num w:numId="13" w16cid:durableId="31772896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16C"/>
    <w:rsid w:val="000208DF"/>
    <w:rsid w:val="0004116C"/>
    <w:rsid w:val="000441BA"/>
    <w:rsid w:val="00047366"/>
    <w:rsid w:val="000752AE"/>
    <w:rsid w:val="00085AF6"/>
    <w:rsid w:val="0009110A"/>
    <w:rsid w:val="000B22CD"/>
    <w:rsid w:val="000E0C2D"/>
    <w:rsid w:val="00111D88"/>
    <w:rsid w:val="00140121"/>
    <w:rsid w:val="00145C99"/>
    <w:rsid w:val="00166455"/>
    <w:rsid w:val="0017173D"/>
    <w:rsid w:val="001775F8"/>
    <w:rsid w:val="00187997"/>
    <w:rsid w:val="00192ECF"/>
    <w:rsid w:val="001938B9"/>
    <w:rsid w:val="001A1AB9"/>
    <w:rsid w:val="001C4254"/>
    <w:rsid w:val="001D1067"/>
    <w:rsid w:val="00210E5B"/>
    <w:rsid w:val="00214577"/>
    <w:rsid w:val="002A2BBE"/>
    <w:rsid w:val="002A7444"/>
    <w:rsid w:val="002C1255"/>
    <w:rsid w:val="002C1467"/>
    <w:rsid w:val="002E75BC"/>
    <w:rsid w:val="002F3D57"/>
    <w:rsid w:val="00301440"/>
    <w:rsid w:val="0030376F"/>
    <w:rsid w:val="0032678B"/>
    <w:rsid w:val="0033008C"/>
    <w:rsid w:val="00337662"/>
    <w:rsid w:val="00342828"/>
    <w:rsid w:val="00366919"/>
    <w:rsid w:val="003719F7"/>
    <w:rsid w:val="00390283"/>
    <w:rsid w:val="00396F07"/>
    <w:rsid w:val="003B1F56"/>
    <w:rsid w:val="003D7171"/>
    <w:rsid w:val="00413611"/>
    <w:rsid w:val="00413D5B"/>
    <w:rsid w:val="0041740C"/>
    <w:rsid w:val="0042314E"/>
    <w:rsid w:val="00434571"/>
    <w:rsid w:val="004533F6"/>
    <w:rsid w:val="00456D6A"/>
    <w:rsid w:val="004946BC"/>
    <w:rsid w:val="00494D35"/>
    <w:rsid w:val="004A2582"/>
    <w:rsid w:val="004A66EA"/>
    <w:rsid w:val="004A7572"/>
    <w:rsid w:val="004B01CC"/>
    <w:rsid w:val="004B0FBA"/>
    <w:rsid w:val="004C4C02"/>
    <w:rsid w:val="005045E7"/>
    <w:rsid w:val="00504688"/>
    <w:rsid w:val="00542DAA"/>
    <w:rsid w:val="005520BF"/>
    <w:rsid w:val="00560F7F"/>
    <w:rsid w:val="00574EF0"/>
    <w:rsid w:val="005A609B"/>
    <w:rsid w:val="005D378E"/>
    <w:rsid w:val="005E0292"/>
    <w:rsid w:val="005E455D"/>
    <w:rsid w:val="005F55C9"/>
    <w:rsid w:val="00611F66"/>
    <w:rsid w:val="0066719D"/>
    <w:rsid w:val="00672441"/>
    <w:rsid w:val="006745AE"/>
    <w:rsid w:val="00680BDC"/>
    <w:rsid w:val="006851A5"/>
    <w:rsid w:val="0069091F"/>
    <w:rsid w:val="006B12B6"/>
    <w:rsid w:val="006C2465"/>
    <w:rsid w:val="006E1BAD"/>
    <w:rsid w:val="0071026A"/>
    <w:rsid w:val="00754352"/>
    <w:rsid w:val="00766475"/>
    <w:rsid w:val="0077018E"/>
    <w:rsid w:val="00773C84"/>
    <w:rsid w:val="00781D1E"/>
    <w:rsid w:val="007B4EFA"/>
    <w:rsid w:val="007C0C06"/>
    <w:rsid w:val="007C6B77"/>
    <w:rsid w:val="007F002E"/>
    <w:rsid w:val="00833566"/>
    <w:rsid w:val="008466C6"/>
    <w:rsid w:val="008542F8"/>
    <w:rsid w:val="00881A80"/>
    <w:rsid w:val="00897006"/>
    <w:rsid w:val="008A67C7"/>
    <w:rsid w:val="008E0710"/>
    <w:rsid w:val="008E3581"/>
    <w:rsid w:val="00906AD0"/>
    <w:rsid w:val="00910D71"/>
    <w:rsid w:val="00927573"/>
    <w:rsid w:val="00965B94"/>
    <w:rsid w:val="00967AF8"/>
    <w:rsid w:val="009C399F"/>
    <w:rsid w:val="009C457C"/>
    <w:rsid w:val="009C5AC9"/>
    <w:rsid w:val="009E5F13"/>
    <w:rsid w:val="009F7BD6"/>
    <w:rsid w:val="00A02831"/>
    <w:rsid w:val="00A1208D"/>
    <w:rsid w:val="00A20614"/>
    <w:rsid w:val="00A2732A"/>
    <w:rsid w:val="00A31257"/>
    <w:rsid w:val="00A41D4E"/>
    <w:rsid w:val="00A64382"/>
    <w:rsid w:val="00A711C7"/>
    <w:rsid w:val="00A755C9"/>
    <w:rsid w:val="00A95523"/>
    <w:rsid w:val="00AA1C23"/>
    <w:rsid w:val="00AA341A"/>
    <w:rsid w:val="00AA6F5F"/>
    <w:rsid w:val="00AA773D"/>
    <w:rsid w:val="00AC124B"/>
    <w:rsid w:val="00AC2851"/>
    <w:rsid w:val="00AD3706"/>
    <w:rsid w:val="00AF2429"/>
    <w:rsid w:val="00AF3C1B"/>
    <w:rsid w:val="00B03B85"/>
    <w:rsid w:val="00B15035"/>
    <w:rsid w:val="00B56796"/>
    <w:rsid w:val="00B62072"/>
    <w:rsid w:val="00B6251A"/>
    <w:rsid w:val="00B717F6"/>
    <w:rsid w:val="00B94792"/>
    <w:rsid w:val="00BA5D53"/>
    <w:rsid w:val="00BC072D"/>
    <w:rsid w:val="00BC324E"/>
    <w:rsid w:val="00C06566"/>
    <w:rsid w:val="00C41D67"/>
    <w:rsid w:val="00C62A6E"/>
    <w:rsid w:val="00C66C07"/>
    <w:rsid w:val="00C678B9"/>
    <w:rsid w:val="00C70EB9"/>
    <w:rsid w:val="00C85463"/>
    <w:rsid w:val="00C8788D"/>
    <w:rsid w:val="00C90B6F"/>
    <w:rsid w:val="00C92652"/>
    <w:rsid w:val="00CA3B10"/>
    <w:rsid w:val="00CC74EC"/>
    <w:rsid w:val="00CD1460"/>
    <w:rsid w:val="00CE20E5"/>
    <w:rsid w:val="00CF2B69"/>
    <w:rsid w:val="00D2780B"/>
    <w:rsid w:val="00D66102"/>
    <w:rsid w:val="00D80DC1"/>
    <w:rsid w:val="00DA112E"/>
    <w:rsid w:val="00DA11BB"/>
    <w:rsid w:val="00DF2094"/>
    <w:rsid w:val="00DF255F"/>
    <w:rsid w:val="00DF6826"/>
    <w:rsid w:val="00E35749"/>
    <w:rsid w:val="00E42B1B"/>
    <w:rsid w:val="00E81148"/>
    <w:rsid w:val="00E819D2"/>
    <w:rsid w:val="00E82734"/>
    <w:rsid w:val="00E96FB0"/>
    <w:rsid w:val="00EB46C2"/>
    <w:rsid w:val="00F157BE"/>
    <w:rsid w:val="00F40C45"/>
    <w:rsid w:val="00F446E5"/>
    <w:rsid w:val="00F46F06"/>
    <w:rsid w:val="00F54B45"/>
    <w:rsid w:val="00FB59E3"/>
    <w:rsid w:val="00FC2A68"/>
    <w:rsid w:val="00FC4C26"/>
    <w:rsid w:val="00FF5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F80A0"/>
  <w15:docId w15:val="{3683AD41-E290-5240-8BBD-733577E47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0411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411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4116C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04116C"/>
    <w:pPr>
      <w:ind w:left="720"/>
      <w:contextualSpacing/>
    </w:pPr>
  </w:style>
  <w:style w:type="character" w:customStyle="1" w:styleId="ls-tk-bereich">
    <w:name w:val="ls-tk-bereich"/>
    <w:basedOn w:val="Absatz-Standardschriftart"/>
    <w:rsid w:val="007F002E"/>
  </w:style>
  <w:style w:type="paragraph" w:customStyle="1" w:styleId="ls-tk-cont">
    <w:name w:val="ls-tk-cont"/>
    <w:basedOn w:val="Standard"/>
    <w:rsid w:val="007F00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ls-tk-title">
    <w:name w:val="ls-tk-title"/>
    <w:basedOn w:val="Absatz-Standardschriftart"/>
    <w:rsid w:val="007F002E"/>
  </w:style>
  <w:style w:type="character" w:customStyle="1" w:styleId="apple-converted-space">
    <w:name w:val="apple-converted-space"/>
    <w:basedOn w:val="Absatz-Standardschriftart"/>
    <w:rsid w:val="00301440"/>
  </w:style>
  <w:style w:type="paragraph" w:styleId="StandardWeb">
    <w:name w:val="Normal (Web)"/>
    <w:basedOn w:val="Standard"/>
    <w:uiPriority w:val="99"/>
    <w:unhideWhenUsed/>
    <w:rsid w:val="00F40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5F55C9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F55C9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5F55C9"/>
    <w:rPr>
      <w:color w:val="800080" w:themeColor="followed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AA34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A341A"/>
  </w:style>
  <w:style w:type="paragraph" w:styleId="Fuzeile">
    <w:name w:val="footer"/>
    <w:basedOn w:val="Standard"/>
    <w:link w:val="FuzeileZchn"/>
    <w:uiPriority w:val="99"/>
    <w:unhideWhenUsed/>
    <w:rsid w:val="00AA34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A341A"/>
  </w:style>
  <w:style w:type="paragraph" w:customStyle="1" w:styleId="Default">
    <w:name w:val="Default"/>
    <w:rsid w:val="00A02831"/>
    <w:pPr>
      <w:autoSpaceDE w:val="0"/>
      <w:autoSpaceDN w:val="0"/>
      <w:adjustRightInd w:val="0"/>
      <w:spacing w:after="0" w:line="240" w:lineRule="auto"/>
    </w:pPr>
    <w:rPr>
      <w:rFonts w:ascii="Calibri Light" w:hAnsi="Calibri Light" w:cs="Calibri Light"/>
      <w:color w:val="000000"/>
      <w:sz w:val="24"/>
      <w:szCs w:val="24"/>
    </w:rPr>
  </w:style>
  <w:style w:type="character" w:styleId="Platzhaltertext">
    <w:name w:val="Placeholder Text"/>
    <w:basedOn w:val="Absatz-Standardschriftart"/>
    <w:uiPriority w:val="99"/>
    <w:semiHidden/>
    <w:rsid w:val="00F54B4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6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8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A6F081E-D6E6-4B44-A9A1-2DC58FD3A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244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K_Wie</dc:creator>
  <cp:lastModifiedBy>Markus Seitz</cp:lastModifiedBy>
  <cp:revision>5</cp:revision>
  <dcterms:created xsi:type="dcterms:W3CDTF">2022-08-12T06:58:00Z</dcterms:created>
  <dcterms:modified xsi:type="dcterms:W3CDTF">2023-03-21T07:47:00Z</dcterms:modified>
</cp:coreProperties>
</file>