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55F" w:rsidRDefault="00B16096" w:rsidP="005134BC">
      <w:pPr>
        <w:pStyle w:val="Kopfzeile"/>
        <w:suppressLineNumbers/>
        <w:jc w:val="center"/>
        <w:rPr>
          <w:b/>
          <w:sz w:val="24"/>
        </w:rPr>
      </w:pPr>
      <w:r>
        <w:rPr>
          <w:b/>
          <w:sz w:val="24"/>
        </w:rPr>
        <w:t>Bürgertum in Europa – rebellisch oder angepasst</w:t>
      </w:r>
      <w:r w:rsidR="003A14AB">
        <w:rPr>
          <w:b/>
          <w:sz w:val="24"/>
        </w:rPr>
        <w:t>?</w:t>
      </w:r>
      <w:r w:rsidR="00A82EA0">
        <w:rPr>
          <w:b/>
          <w:sz w:val="24"/>
        </w:rPr>
        <w:t xml:space="preserve"> (Einzelstunde)</w:t>
      </w:r>
    </w:p>
    <w:p w:rsidR="00BA6D3E" w:rsidRPr="00AA355F" w:rsidRDefault="00BA6D3E" w:rsidP="00D260B8">
      <w:pPr>
        <w:pStyle w:val="Kopfzeile"/>
        <w:suppressLineNumbers/>
        <w:rPr>
          <w:rFonts w:cs="Helvetica"/>
          <w:b/>
          <w:caps/>
          <w:color w:val="000000" w:themeColor="text1"/>
          <w:sz w:val="32"/>
        </w:rPr>
      </w:pPr>
    </w:p>
    <w:p w:rsidR="004F76C6" w:rsidRDefault="004F76C6" w:rsidP="004F76C6">
      <w:pPr>
        <w:pBdr>
          <w:top w:val="single" w:sz="4" w:space="1" w:color="auto"/>
          <w:left w:val="single" w:sz="4" w:space="4" w:color="auto"/>
          <w:bottom w:val="single" w:sz="4" w:space="1" w:color="auto"/>
          <w:right w:val="single" w:sz="4" w:space="4" w:color="auto"/>
        </w:pBdr>
      </w:pPr>
      <w:r>
        <w:t xml:space="preserve">Schülerinnen und Schüler können </w:t>
      </w:r>
      <w:r w:rsidR="008D6C2A">
        <w:t>bürgerliche Lebenswelten zwischen Auflehnung und Anpassung charakterisieren</w:t>
      </w:r>
      <w:r>
        <w:t xml:space="preserve"> </w:t>
      </w:r>
      <w:r w:rsidRPr="00697F0F">
        <w:t>(</w:t>
      </w:r>
      <w:bookmarkStart w:id="0" w:name="_GoBack"/>
      <w:bookmarkEnd w:id="0"/>
      <w:r w:rsidR="008D6C2A" w:rsidRPr="008B4453">
        <w:rPr>
          <w:b/>
        </w:rPr>
        <w:t>Bürgertum,</w:t>
      </w:r>
      <w:r w:rsidR="008D6C2A">
        <w:rPr>
          <w:b/>
          <w:i/>
        </w:rPr>
        <w:t xml:space="preserve"> </w:t>
      </w:r>
      <w:r w:rsidR="008B4453">
        <w:rPr>
          <w:b/>
          <w:i/>
        </w:rPr>
        <w:t xml:space="preserve">zum Beispiel </w:t>
      </w:r>
      <w:r w:rsidR="008D6C2A">
        <w:rPr>
          <w:b/>
          <w:i/>
        </w:rPr>
        <w:t>Verein, Freiheitslied</w:t>
      </w:r>
      <w:r w:rsidR="008B4453">
        <w:rPr>
          <w:b/>
          <w:i/>
        </w:rPr>
        <w:t>;</w:t>
      </w:r>
      <w:r w:rsidR="008D6C2A" w:rsidRPr="008B4453">
        <w:rPr>
          <w:b/>
        </w:rPr>
        <w:t xml:space="preserve"> Zensur</w:t>
      </w:r>
      <w:r w:rsidRPr="00697F0F">
        <w:t>)</w:t>
      </w:r>
    </w:p>
    <w:p w:rsidR="004F76C6" w:rsidRDefault="004F76C6" w:rsidP="004F76C6">
      <w:pPr>
        <w:suppressLineNumbers/>
        <w:pBdr>
          <w:top w:val="single" w:sz="4" w:space="1" w:color="auto"/>
          <w:left w:val="single" w:sz="4" w:space="4" w:color="auto"/>
          <w:bottom w:val="single" w:sz="4" w:space="1" w:color="auto"/>
          <w:right w:val="single" w:sz="4" w:space="4" w:color="auto"/>
        </w:pBdr>
      </w:pPr>
      <w:r>
        <w:rPr>
          <w:b/>
        </w:rPr>
        <w:t>Sachkompetenz</w:t>
      </w:r>
      <w:r w:rsidR="008D6C2A">
        <w:rPr>
          <w:b/>
        </w:rPr>
        <w:t xml:space="preserve"> 5</w:t>
      </w:r>
      <w:r w:rsidRPr="00697F0F">
        <w:rPr>
          <w:b/>
        </w:rPr>
        <w:br/>
      </w:r>
      <w:r>
        <w:t>S</w:t>
      </w:r>
      <w:r w:rsidR="008D6C2A">
        <w:t>chülerinnen und Schüler können wichtige Gruppen in den jeweiligen Gesellschaften unterscheiden sowie deren Funktionen, Interessen und Handlungsmöglichkeiten beschreiben</w:t>
      </w:r>
      <w:r>
        <w:t>.</w:t>
      </w:r>
    </w:p>
    <w:p w:rsidR="00634A5B" w:rsidRDefault="00634A5B" w:rsidP="00D260B8">
      <w:pPr>
        <w:suppressLineNumbers/>
        <w:spacing w:line="240" w:lineRule="auto"/>
        <w:rPr>
          <w:rFonts w:cs="Helvetica"/>
          <w:b/>
          <w:caps/>
          <w:color w:val="000000" w:themeColor="text1"/>
        </w:rPr>
      </w:pPr>
    </w:p>
    <w:tbl>
      <w:tblPr>
        <w:tblStyle w:val="Tabellenraster"/>
        <w:tblW w:w="9917" w:type="dxa"/>
        <w:tblLayout w:type="fixed"/>
        <w:tblLook w:val="04A0" w:firstRow="1" w:lastRow="0" w:firstColumn="1" w:lastColumn="0" w:noHBand="0" w:noVBand="1"/>
      </w:tblPr>
      <w:tblGrid>
        <w:gridCol w:w="1734"/>
        <w:gridCol w:w="4044"/>
        <w:gridCol w:w="4139"/>
      </w:tblGrid>
      <w:tr w:rsidR="00634A5B" w:rsidTr="00250845">
        <w:tc>
          <w:tcPr>
            <w:tcW w:w="1734" w:type="dxa"/>
          </w:tcPr>
          <w:p w:rsidR="00634A5B" w:rsidRPr="00D16357" w:rsidRDefault="00634A5B" w:rsidP="00D260B8">
            <w:pPr>
              <w:suppressLineNumbers/>
              <w:rPr>
                <w:rFonts w:cs="Helvetica"/>
                <w:color w:val="000000" w:themeColor="text1"/>
              </w:rPr>
            </w:pPr>
            <w:r w:rsidRPr="00D16357">
              <w:rPr>
                <w:rFonts w:cs="Helvetica"/>
                <w:color w:val="000000" w:themeColor="text1"/>
              </w:rPr>
              <w:t>Einstieg</w:t>
            </w:r>
          </w:p>
        </w:tc>
        <w:tc>
          <w:tcPr>
            <w:tcW w:w="4044" w:type="dxa"/>
          </w:tcPr>
          <w:p w:rsidR="00634A5B" w:rsidRPr="004E6C01" w:rsidRDefault="004E6C01" w:rsidP="00D260B8">
            <w:pPr>
              <w:suppressLineNumbers/>
              <w:rPr>
                <w:rFonts w:cs="Helvetica"/>
                <w:color w:val="000000" w:themeColor="text1"/>
              </w:rPr>
            </w:pPr>
            <w:r w:rsidRPr="004E6C01">
              <w:t>Begriffsklärung: Bürgertum</w:t>
            </w:r>
          </w:p>
        </w:tc>
        <w:tc>
          <w:tcPr>
            <w:tcW w:w="4139" w:type="dxa"/>
          </w:tcPr>
          <w:p w:rsidR="00634A5B" w:rsidRDefault="004E6C01" w:rsidP="00D260B8">
            <w:pPr>
              <w:suppressLineNumbers/>
            </w:pPr>
            <w:r>
              <w:rPr>
                <w:rFonts w:cs="Helvetica"/>
                <w:color w:val="000000" w:themeColor="text1"/>
              </w:rPr>
              <w:t>Bild-Text-Vergleich</w:t>
            </w:r>
            <w:r w:rsidR="00A24583">
              <w:rPr>
                <w:rFonts w:cs="Helvetica"/>
                <w:color w:val="000000" w:themeColor="text1"/>
              </w:rPr>
              <w:t xml:space="preserve"> M1 und M2</w:t>
            </w:r>
          </w:p>
        </w:tc>
      </w:tr>
      <w:tr w:rsidR="00634A5B" w:rsidTr="00250845">
        <w:tc>
          <w:tcPr>
            <w:tcW w:w="1734" w:type="dxa"/>
          </w:tcPr>
          <w:p w:rsidR="00634A5B" w:rsidRPr="00F45E2F" w:rsidRDefault="00634A5B" w:rsidP="00D260B8">
            <w:pPr>
              <w:suppressLineNumbers/>
              <w:rPr>
                <w:rFonts w:cs="Helvetica"/>
                <w:color w:val="000000" w:themeColor="text1"/>
              </w:rPr>
            </w:pPr>
            <w:r w:rsidRPr="00F45E2F">
              <w:rPr>
                <w:rFonts w:cs="Helvetica"/>
                <w:color w:val="000000" w:themeColor="text1"/>
              </w:rPr>
              <w:t xml:space="preserve">Erarbeitung </w:t>
            </w:r>
          </w:p>
        </w:tc>
        <w:tc>
          <w:tcPr>
            <w:tcW w:w="4044" w:type="dxa"/>
          </w:tcPr>
          <w:p w:rsidR="005134BC" w:rsidRDefault="009F73D6" w:rsidP="00357514">
            <w:pPr>
              <w:pStyle w:val="StandardWeb"/>
              <w:suppressLineNumbers/>
              <w:shd w:val="clear" w:color="auto" w:fill="FFFFFF"/>
              <w:rPr>
                <w:rFonts w:asciiTheme="minorHAnsi" w:hAnsiTheme="minorHAnsi" w:cs="Helvetica"/>
                <w:color w:val="000000" w:themeColor="text1"/>
                <w:sz w:val="22"/>
                <w:szCs w:val="22"/>
              </w:rPr>
            </w:pPr>
            <w:r w:rsidRPr="009F73D6">
              <w:rPr>
                <w:rFonts w:asciiTheme="minorHAnsi" w:hAnsiTheme="minorHAnsi" w:cs="Helvetica"/>
                <w:b/>
                <w:color w:val="000000" w:themeColor="text1"/>
                <w:sz w:val="22"/>
                <w:szCs w:val="22"/>
              </w:rPr>
              <w:t>Schritt 1:</w:t>
            </w:r>
            <w:r>
              <w:rPr>
                <w:rFonts w:asciiTheme="minorHAnsi" w:hAnsiTheme="minorHAnsi" w:cs="Helvetica"/>
                <w:b/>
                <w:color w:val="000000" w:themeColor="text1"/>
                <w:sz w:val="22"/>
                <w:szCs w:val="22"/>
              </w:rPr>
              <w:br/>
            </w:r>
            <w:r w:rsidR="0051690E">
              <w:rPr>
                <w:rFonts w:asciiTheme="minorHAnsi" w:hAnsiTheme="minorHAnsi" w:cs="Helvetica"/>
                <w:color w:val="000000" w:themeColor="text1"/>
                <w:sz w:val="22"/>
                <w:szCs w:val="22"/>
              </w:rPr>
              <w:t>Materialien zur Polenbegeisterung des europäischen Bürgertums</w:t>
            </w:r>
          </w:p>
          <w:p w:rsidR="009F73D6" w:rsidRPr="009F73D6" w:rsidRDefault="0051690E" w:rsidP="004075D8">
            <w:pPr>
              <w:pStyle w:val="StandardWeb"/>
              <w:suppressLineNumbers/>
              <w:shd w:val="clear" w:color="auto" w:fill="FFFFFF"/>
              <w:spacing w:after="0"/>
              <w:rPr>
                <w:rFonts w:asciiTheme="minorHAnsi" w:hAnsiTheme="minorHAnsi" w:cs="Helvetica"/>
                <w:color w:val="000000" w:themeColor="text1"/>
                <w:sz w:val="22"/>
                <w:szCs w:val="22"/>
              </w:rPr>
            </w:pPr>
            <w:r>
              <w:rPr>
                <w:rFonts w:asciiTheme="minorHAnsi" w:hAnsiTheme="minorHAnsi" w:cs="Helvetica"/>
                <w:b/>
                <w:color w:val="000000" w:themeColor="text1"/>
                <w:sz w:val="22"/>
                <w:szCs w:val="22"/>
              </w:rPr>
              <w:t>Schritt 2:</w:t>
            </w:r>
            <w:r>
              <w:rPr>
                <w:rFonts w:asciiTheme="minorHAnsi" w:hAnsiTheme="minorHAnsi" w:cs="Helvetica"/>
                <w:b/>
                <w:color w:val="000000" w:themeColor="text1"/>
                <w:sz w:val="22"/>
                <w:szCs w:val="22"/>
              </w:rPr>
              <w:br/>
            </w:r>
            <w:r w:rsidR="00161098">
              <w:rPr>
                <w:rFonts w:asciiTheme="minorHAnsi" w:hAnsiTheme="minorHAnsi" w:cs="Helvetica"/>
                <w:color w:val="000000" w:themeColor="text1"/>
                <w:sz w:val="22"/>
                <w:szCs w:val="22"/>
              </w:rPr>
              <w:t>Materialien zum Zurückweichen des Bürgertums gegenüber der Zensur</w:t>
            </w:r>
          </w:p>
        </w:tc>
        <w:tc>
          <w:tcPr>
            <w:tcW w:w="4139" w:type="dxa"/>
          </w:tcPr>
          <w:p w:rsidR="00634A5B" w:rsidRPr="00F45E2F" w:rsidRDefault="0051690E" w:rsidP="00211455">
            <w:pPr>
              <w:suppressLineNumbers/>
            </w:pPr>
            <w:r>
              <w:t>Gallery walk</w:t>
            </w:r>
            <w:r w:rsidR="00A24583">
              <w:br/>
              <w:t>M 1 -</w:t>
            </w:r>
            <w:r w:rsidR="00EF06FA">
              <w:t xml:space="preserve"> M 8</w:t>
            </w:r>
            <w:r w:rsidR="008A3F6E">
              <w:br/>
            </w:r>
            <w:r w:rsidR="008A3F6E">
              <w:br/>
            </w:r>
            <w:r w:rsidR="00AA25CB">
              <w:br/>
            </w:r>
            <w:r w:rsidR="00AA25CB">
              <w:br/>
            </w:r>
            <w:r w:rsidR="00161098">
              <w:t>Bild-Text-Vergleich</w:t>
            </w:r>
            <w:r w:rsidR="00A24583">
              <w:t xml:space="preserve"> M 9 und M 10</w:t>
            </w:r>
          </w:p>
        </w:tc>
      </w:tr>
      <w:tr w:rsidR="00634A5B" w:rsidTr="00250845">
        <w:tc>
          <w:tcPr>
            <w:tcW w:w="1734" w:type="dxa"/>
          </w:tcPr>
          <w:p w:rsidR="00634A5B" w:rsidRPr="00D16357" w:rsidRDefault="00157A3F" w:rsidP="00D260B8">
            <w:pPr>
              <w:suppressLineNumbers/>
              <w:rPr>
                <w:rFonts w:cs="Helvetica"/>
                <w:color w:val="000000" w:themeColor="text1"/>
              </w:rPr>
            </w:pPr>
            <w:r>
              <w:rPr>
                <w:rFonts w:cs="Helvetica"/>
                <w:color w:val="000000" w:themeColor="text1"/>
              </w:rPr>
              <w:t>Fazit und</w:t>
            </w:r>
            <w:r w:rsidR="00634A5B" w:rsidRPr="00D16357">
              <w:rPr>
                <w:rFonts w:cs="Helvetica"/>
                <w:color w:val="000000" w:themeColor="text1"/>
              </w:rPr>
              <w:t xml:space="preserve"> Problematisie</w:t>
            </w:r>
            <w:r>
              <w:rPr>
                <w:rFonts w:cs="Helvetica"/>
                <w:color w:val="000000" w:themeColor="text1"/>
              </w:rPr>
              <w:t>rung</w:t>
            </w:r>
          </w:p>
        </w:tc>
        <w:tc>
          <w:tcPr>
            <w:tcW w:w="4044" w:type="dxa"/>
          </w:tcPr>
          <w:p w:rsidR="00357514" w:rsidRDefault="00BE78EB" w:rsidP="00D260B8">
            <w:pPr>
              <w:pStyle w:val="StandardWeb"/>
              <w:suppressLineNumbers/>
              <w:shd w:val="clear" w:color="auto" w:fill="FFFFFF"/>
              <w:spacing w:after="0"/>
              <w:rPr>
                <w:rFonts w:asciiTheme="minorHAnsi" w:hAnsiTheme="minorHAnsi" w:cs="Helvetica"/>
                <w:color w:val="000000" w:themeColor="text1"/>
                <w:sz w:val="22"/>
                <w:szCs w:val="22"/>
              </w:rPr>
            </w:pPr>
            <w:r>
              <w:rPr>
                <w:rFonts w:asciiTheme="minorHAnsi" w:hAnsiTheme="minorHAnsi" w:cs="Helvetica"/>
                <w:color w:val="000000" w:themeColor="text1"/>
                <w:sz w:val="22"/>
                <w:szCs w:val="22"/>
              </w:rPr>
              <w:t xml:space="preserve">In der Welle der Polenbegeisterung projiziert das Bürgertum seine eigenen Hoffnungen auf „Einheit und Freiheit“ in die Polen. </w:t>
            </w:r>
            <w:r w:rsidR="00161098">
              <w:rPr>
                <w:rFonts w:asciiTheme="minorHAnsi" w:hAnsiTheme="minorHAnsi" w:cs="Helvetica"/>
                <w:color w:val="000000" w:themeColor="text1"/>
                <w:sz w:val="22"/>
                <w:szCs w:val="22"/>
              </w:rPr>
              <w:t>Im Konflikt zwischen Auflehnung u</w:t>
            </w:r>
            <w:r>
              <w:rPr>
                <w:rFonts w:asciiTheme="minorHAnsi" w:hAnsiTheme="minorHAnsi" w:cs="Helvetica"/>
                <w:color w:val="000000" w:themeColor="text1"/>
                <w:sz w:val="22"/>
                <w:szCs w:val="22"/>
              </w:rPr>
              <w:t>nd Anpassung neigt es dann aber</w:t>
            </w:r>
            <w:r w:rsidR="00161098">
              <w:rPr>
                <w:rFonts w:asciiTheme="minorHAnsi" w:hAnsiTheme="minorHAnsi" w:cs="Helvetica"/>
                <w:color w:val="000000" w:themeColor="text1"/>
                <w:sz w:val="22"/>
                <w:szCs w:val="22"/>
              </w:rPr>
              <w:t xml:space="preserve"> zur Anpassung</w:t>
            </w:r>
            <w:r w:rsidR="009C376E">
              <w:rPr>
                <w:rFonts w:asciiTheme="minorHAnsi" w:hAnsiTheme="minorHAnsi" w:cs="Helvetica"/>
                <w:color w:val="000000" w:themeColor="text1"/>
                <w:sz w:val="22"/>
                <w:szCs w:val="22"/>
              </w:rPr>
              <w:t>.</w:t>
            </w:r>
            <w:r>
              <w:rPr>
                <w:rFonts w:asciiTheme="minorHAnsi" w:hAnsiTheme="minorHAnsi" w:cs="Helvetica"/>
                <w:color w:val="000000" w:themeColor="text1"/>
                <w:sz w:val="22"/>
                <w:szCs w:val="22"/>
              </w:rPr>
              <w:t xml:space="preserve"> Die internationale Solidarität, die sich im „europäischen Völkerfrühling“ andeutete, wird brüchig.</w:t>
            </w:r>
          </w:p>
          <w:p w:rsidR="00357514" w:rsidRDefault="00357514" w:rsidP="00D260B8">
            <w:pPr>
              <w:pStyle w:val="StandardWeb"/>
              <w:suppressLineNumbers/>
              <w:shd w:val="clear" w:color="auto" w:fill="FFFFFF"/>
              <w:spacing w:after="0"/>
              <w:rPr>
                <w:rFonts w:asciiTheme="minorHAnsi" w:hAnsiTheme="minorHAnsi" w:cs="Helvetica"/>
                <w:color w:val="000000" w:themeColor="text1"/>
                <w:sz w:val="22"/>
                <w:szCs w:val="22"/>
              </w:rPr>
            </w:pPr>
          </w:p>
          <w:p w:rsidR="00357514" w:rsidRPr="00157A3F" w:rsidRDefault="00161098" w:rsidP="00D260B8">
            <w:pPr>
              <w:pStyle w:val="StandardWeb"/>
              <w:suppressLineNumbers/>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 xml:space="preserve">Weiterführende Frage: </w:t>
            </w:r>
            <w:r>
              <w:rPr>
                <w:rFonts w:asciiTheme="minorHAnsi" w:eastAsiaTheme="minorHAnsi" w:hAnsiTheme="minorHAnsi" w:cs="Helvetica"/>
                <w:color w:val="000000" w:themeColor="text1"/>
                <w:sz w:val="22"/>
                <w:szCs w:val="22"/>
                <w:lang w:eastAsia="en-US"/>
              </w:rPr>
              <w:br/>
              <w:t>Wie wird sich das Bürgertum verhalten, wenn die Revolution dann doch eintritt?</w:t>
            </w:r>
          </w:p>
        </w:tc>
        <w:tc>
          <w:tcPr>
            <w:tcW w:w="4139" w:type="dxa"/>
          </w:tcPr>
          <w:p w:rsidR="00C50C95" w:rsidRDefault="00B838DC" w:rsidP="004075D8">
            <w:pPr>
              <w:suppressLineNumbers/>
            </w:pPr>
            <w:r>
              <w:t>Plenumsdiskussion</w:t>
            </w:r>
          </w:p>
        </w:tc>
      </w:tr>
      <w:tr w:rsidR="002C598F" w:rsidTr="00250845">
        <w:tc>
          <w:tcPr>
            <w:tcW w:w="1734" w:type="dxa"/>
          </w:tcPr>
          <w:p w:rsidR="002C598F" w:rsidRDefault="002C598F" w:rsidP="00D260B8">
            <w:pPr>
              <w:suppressLineNumbers/>
              <w:rPr>
                <w:rFonts w:cs="Helvetica"/>
                <w:color w:val="000000" w:themeColor="text1"/>
              </w:rPr>
            </w:pPr>
            <w:r>
              <w:rPr>
                <w:rFonts w:cs="Helvetica"/>
                <w:color w:val="000000" w:themeColor="text1"/>
              </w:rPr>
              <w:t>Additum</w:t>
            </w:r>
          </w:p>
        </w:tc>
        <w:tc>
          <w:tcPr>
            <w:tcW w:w="4044" w:type="dxa"/>
          </w:tcPr>
          <w:p w:rsidR="002C598F" w:rsidRDefault="002C598F" w:rsidP="00D260B8">
            <w:pPr>
              <w:pStyle w:val="StandardWeb"/>
              <w:suppressLineNumbers/>
              <w:shd w:val="clear" w:color="auto" w:fill="FFFFFF"/>
              <w:spacing w:after="0"/>
              <w:rPr>
                <w:rFonts w:asciiTheme="minorHAnsi" w:hAnsiTheme="minorHAnsi" w:cs="Helvetica"/>
                <w:color w:val="000000" w:themeColor="text1"/>
                <w:sz w:val="22"/>
                <w:szCs w:val="22"/>
              </w:rPr>
            </w:pPr>
            <w:r>
              <w:rPr>
                <w:rFonts w:asciiTheme="minorHAnsi" w:hAnsiTheme="minorHAnsi" w:cs="Helvetica"/>
                <w:color w:val="000000" w:themeColor="text1"/>
                <w:sz w:val="22"/>
                <w:szCs w:val="22"/>
              </w:rPr>
              <w:t>Vergleich der Reaktionen auf die Ankunft von Kriegsflüchtlingen 1832 und 2015</w:t>
            </w:r>
            <w:r w:rsidR="00A24583">
              <w:rPr>
                <w:rFonts w:asciiTheme="minorHAnsi" w:hAnsiTheme="minorHAnsi" w:cs="Helvetica"/>
                <w:color w:val="000000" w:themeColor="text1"/>
                <w:sz w:val="22"/>
                <w:szCs w:val="22"/>
              </w:rPr>
              <w:t>/16 in Europa</w:t>
            </w:r>
          </w:p>
        </w:tc>
        <w:tc>
          <w:tcPr>
            <w:tcW w:w="4139" w:type="dxa"/>
          </w:tcPr>
          <w:p w:rsidR="002C598F" w:rsidRDefault="002C598F" w:rsidP="004075D8">
            <w:pPr>
              <w:suppressLineNumbers/>
            </w:pPr>
            <w:r>
              <w:t>Aktualisierung/Transfer</w:t>
            </w:r>
          </w:p>
        </w:tc>
      </w:tr>
    </w:tbl>
    <w:p w:rsidR="00634A5B" w:rsidRPr="005134BC" w:rsidRDefault="00634A5B" w:rsidP="00D260B8">
      <w:pPr>
        <w:suppressLineNumbers/>
        <w:spacing w:line="240" w:lineRule="auto"/>
        <w:rPr>
          <w:rFonts w:cs="Helvetica"/>
          <w:b/>
          <w:color w:val="000000" w:themeColor="text1"/>
        </w:rPr>
      </w:pPr>
    </w:p>
    <w:p w:rsidR="00A627DC" w:rsidRDefault="005134BC" w:rsidP="00A24583">
      <w:pPr>
        <w:rPr>
          <w:rFonts w:cs="Helvetica"/>
          <w:b/>
          <w:caps/>
          <w:color w:val="000000" w:themeColor="text1"/>
        </w:rPr>
      </w:pPr>
      <w:r>
        <w:rPr>
          <w:rFonts w:cs="Helvetica"/>
          <w:b/>
          <w:caps/>
          <w:color w:val="000000" w:themeColor="text1"/>
        </w:rPr>
        <w:br w:type="page"/>
      </w:r>
      <w:r w:rsidR="00D16357">
        <w:rPr>
          <w:rFonts w:cs="Helvetica"/>
          <w:b/>
          <w:caps/>
          <w:color w:val="000000" w:themeColor="text1"/>
        </w:rPr>
        <w:lastRenderedPageBreak/>
        <w:t>Einstieg</w:t>
      </w:r>
    </w:p>
    <w:p w:rsidR="00FD018B" w:rsidRPr="009C376E" w:rsidRDefault="00FD018B" w:rsidP="00FD018B">
      <w:pPr>
        <w:rPr>
          <w:b/>
        </w:rPr>
      </w:pPr>
      <w:r w:rsidRPr="009C376E">
        <w:rPr>
          <w:b/>
        </w:rPr>
        <w:t>M 1: Das Lesekabinett (Johann Peter Hasenclever, Ölgemälde 1841)</w:t>
      </w:r>
    </w:p>
    <w:p w:rsidR="005134BC" w:rsidRDefault="00B974A4" w:rsidP="00D260B8">
      <w:pPr>
        <w:suppressLineNumbers/>
        <w:rPr>
          <w:rFonts w:cs="Helvetica"/>
          <w:b/>
          <w:caps/>
          <w:color w:val="000000" w:themeColor="text1"/>
        </w:rPr>
      </w:pPr>
      <w:r w:rsidRPr="00B974A4">
        <w:rPr>
          <w:rFonts w:cs="Helvetica"/>
          <w:b/>
          <w:caps/>
          <w:noProof/>
          <w:color w:val="000000" w:themeColor="text1"/>
        </w:rPr>
        <w:drawing>
          <wp:inline distT="0" distB="0" distL="0" distR="0">
            <wp:extent cx="5759450" cy="3986238"/>
            <wp:effectExtent l="0" t="0" r="0" b="0"/>
            <wp:docPr id="1" name="Grafik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3986238"/>
                    </a:xfrm>
                    <a:prstGeom prst="rect">
                      <a:avLst/>
                    </a:prstGeom>
                    <a:noFill/>
                    <a:ln>
                      <a:noFill/>
                    </a:ln>
                  </pic:spPr>
                </pic:pic>
              </a:graphicData>
            </a:graphic>
          </wp:inline>
        </w:drawing>
      </w:r>
    </w:p>
    <w:p w:rsidR="005134BC" w:rsidRPr="00F1004E" w:rsidRDefault="00F1004E" w:rsidP="00D260B8">
      <w:pPr>
        <w:suppressLineNumbers/>
        <w:rPr>
          <w:rFonts w:cs="Helvetica"/>
          <w:caps/>
          <w:color w:val="000000" w:themeColor="text1"/>
        </w:rPr>
      </w:pPr>
      <w:r w:rsidRPr="00F1004E">
        <w:rPr>
          <w:rFonts w:cs="Helvetica"/>
          <w:caps/>
          <w:color w:val="000000" w:themeColor="text1"/>
        </w:rPr>
        <w:t xml:space="preserve">Von Johann Peter Hasenclever - Eigenes Werk, 2012, Gemeinfrei, </w:t>
      </w:r>
      <w:hyperlink r:id="rId9" w:history="1">
        <w:r w:rsidRPr="00F1004E">
          <w:rPr>
            <w:rStyle w:val="Hyperlink"/>
            <w:rFonts w:cs="Helvetica"/>
            <w:caps/>
          </w:rPr>
          <w:t>https://commons.wikimedia.org/w/index.php?curid=26383539</w:t>
        </w:r>
      </w:hyperlink>
    </w:p>
    <w:p w:rsidR="00FD018B" w:rsidRPr="009C376E" w:rsidRDefault="00FD018B" w:rsidP="00FD018B">
      <w:pPr>
        <w:rPr>
          <w:b/>
        </w:rPr>
      </w:pPr>
      <w:r w:rsidRPr="009C376E">
        <w:rPr>
          <w:b/>
        </w:rPr>
        <w:t xml:space="preserve">M 2: Der Historiker Jürgen Kocka </w:t>
      </w:r>
      <w:r w:rsidR="000F0C29" w:rsidRPr="009C376E">
        <w:rPr>
          <w:b/>
        </w:rPr>
        <w:t>schreibt über das Bürgertum</w:t>
      </w:r>
    </w:p>
    <w:p w:rsidR="00FD018B" w:rsidRDefault="00FD018B" w:rsidP="00FD018B">
      <w:r>
        <w:t>„</w:t>
      </w:r>
      <w:r w:rsidR="001569B5">
        <w:t xml:space="preserve">Seit dem 18. Jahrhundert stieg die Zahl der großen Kaufleute, Verleger und Manufakturunternehmer, der Reeder und Bankiers, der Unternehmer und Fabrikanten. </w:t>
      </w:r>
      <w:r>
        <w:t xml:space="preserve">So bildete sich im späten 18. und frühen 19. Jahrhundert </w:t>
      </w:r>
      <w:r w:rsidR="000F0C29">
        <w:t>eine</w:t>
      </w:r>
      <w:r>
        <w:t xml:space="preserve"> aufsteigende schmale Schicht</w:t>
      </w:r>
      <w:r w:rsidR="004E6C01">
        <w:t xml:space="preserve"> heraus</w:t>
      </w:r>
      <w:r>
        <w:t xml:space="preserve">, die sich aus Besitzenden und Gebildeten </w:t>
      </w:r>
      <w:r w:rsidR="000F0C29">
        <w:t>zusammensetzte und für die das Wort „bürgerlich“ in Gebrauch kam: im Sinne von Besitzbürgertum und Bildungsbürgertum. Was hatten diese unterschiedlichen Bürger gemeinsam? Einerseits die kritische Distanz zum Geburtsadel und seiner Welt, die Hochschätzung von Leistung und Bildung, zugleich aber die Absetzung vom niederen Volk.</w:t>
      </w:r>
      <w:r w:rsidR="00CF643F">
        <w:t xml:space="preserve"> </w:t>
      </w:r>
      <w:r w:rsidR="00FC21C8">
        <w:t xml:space="preserve">Es wurde in Lesegesellschaften und Vereinen diskutiert. </w:t>
      </w:r>
      <w:r w:rsidR="00CF643F">
        <w:t>Im Zentrum dieses Entwurfs stand das Ziel einer modernen Gesellschaft freier, mündiger Bürger. D</w:t>
      </w:r>
      <w:r w:rsidR="000F5AC9">
        <w:t>azu bedurfte es</w:t>
      </w:r>
      <w:r w:rsidR="00CF643F">
        <w:t xml:space="preserve"> des Rechtsstaates mit Verfassung und Parlament.</w:t>
      </w:r>
      <w:r w:rsidR="000F0C29">
        <w:t>“</w:t>
      </w:r>
    </w:p>
    <w:p w:rsidR="00FC21C8" w:rsidRDefault="000F0C29" w:rsidP="00F1004E">
      <w:r>
        <w:t>(Jürgen Kocka, Bürger und Bürgerlichkeit im Wandel, in: APuZ 9-10/2008, S. 4</w:t>
      </w:r>
      <w:r w:rsidR="00CF643F">
        <w:t>f.</w:t>
      </w:r>
      <w:r>
        <w:t>, gekürzt)</w:t>
      </w:r>
    </w:p>
    <w:p w:rsidR="000F0C29" w:rsidRDefault="000F0C29" w:rsidP="004532A0">
      <w:pPr>
        <w:suppressLineNumbers/>
        <w:pBdr>
          <w:top w:val="single" w:sz="4" w:space="1" w:color="auto"/>
          <w:left w:val="single" w:sz="4" w:space="4" w:color="auto"/>
          <w:bottom w:val="single" w:sz="4" w:space="1" w:color="auto"/>
          <w:right w:val="single" w:sz="4" w:space="4" w:color="auto"/>
        </w:pBdr>
      </w:pPr>
      <w:r>
        <w:t xml:space="preserve">1. </w:t>
      </w:r>
      <w:r w:rsidR="004E6C01">
        <w:t>Überprüfe, ob die in M 1 abgebildeten Personen dem Bürgertu</w:t>
      </w:r>
      <w:r w:rsidR="001569B5">
        <w:t xml:space="preserve">m angehören. Lies dazu </w:t>
      </w:r>
      <w:r w:rsidR="004E6C01">
        <w:t>M 2.</w:t>
      </w:r>
    </w:p>
    <w:p w:rsidR="004E6C01" w:rsidRDefault="00FC21C8" w:rsidP="004532A0">
      <w:pPr>
        <w:suppressLineNumbers/>
        <w:pBdr>
          <w:top w:val="single" w:sz="4" w:space="1" w:color="auto"/>
          <w:left w:val="single" w:sz="4" w:space="4" w:color="auto"/>
          <w:bottom w:val="single" w:sz="4" w:space="1" w:color="auto"/>
          <w:right w:val="single" w:sz="4" w:space="4" w:color="auto"/>
        </w:pBdr>
      </w:pPr>
      <w:r>
        <w:t>2. Erörtert</w:t>
      </w:r>
      <w:r w:rsidR="000F5AC9">
        <w:t>, welche Einstellung der Maler von M 1 gegenüber den abgebildeten Personen hat.</w:t>
      </w:r>
    </w:p>
    <w:p w:rsidR="00E233F4" w:rsidRDefault="00E233F4" w:rsidP="006057CE">
      <w:pPr>
        <w:suppressLineNumbers/>
        <w:rPr>
          <w:rFonts w:cs="Helvetica"/>
          <w:b/>
          <w:color w:val="000000" w:themeColor="text1"/>
        </w:rPr>
      </w:pPr>
      <w:r w:rsidRPr="008D6C2A">
        <w:rPr>
          <w:rFonts w:cs="Helvetica"/>
          <w:b/>
          <w:color w:val="000000" w:themeColor="text1"/>
        </w:rPr>
        <w:br w:type="page"/>
      </w:r>
      <w:r w:rsidR="000F6B37">
        <w:rPr>
          <w:rFonts w:cs="Helvetica"/>
          <w:b/>
          <w:color w:val="000000" w:themeColor="text1"/>
        </w:rPr>
        <w:lastRenderedPageBreak/>
        <w:t>ERARBEITUNG</w:t>
      </w:r>
    </w:p>
    <w:p w:rsidR="00E436A8" w:rsidRPr="009C376E" w:rsidRDefault="00340CA6" w:rsidP="00C30089">
      <w:pPr>
        <w:suppressLineNumbers/>
        <w:tabs>
          <w:tab w:val="center" w:pos="4535"/>
        </w:tabs>
        <w:rPr>
          <w:b/>
        </w:rPr>
      </w:pPr>
      <w:r w:rsidRPr="009C376E">
        <w:rPr>
          <w:b/>
        </w:rPr>
        <w:t>M 3</w:t>
      </w:r>
      <w:r w:rsidR="00E436A8" w:rsidRPr="009C376E">
        <w:rPr>
          <w:b/>
        </w:rPr>
        <w:t>: Der polnische Novemberaufstand 1830/31</w:t>
      </w:r>
    </w:p>
    <w:p w:rsidR="00C30089" w:rsidRDefault="00C30089" w:rsidP="00C30089">
      <w:pPr>
        <w:suppressLineNumbers/>
        <w:tabs>
          <w:tab w:val="center" w:pos="4535"/>
        </w:tabs>
      </w:pPr>
      <w:r w:rsidRPr="00E436A8">
        <w:t xml:space="preserve">Der </w:t>
      </w:r>
      <w:r w:rsidRPr="00E436A8">
        <w:rPr>
          <w:bCs/>
        </w:rPr>
        <w:t>Novemberaufstand</w:t>
      </w:r>
      <w:r w:rsidR="00E436A8">
        <w:t xml:space="preserve"> von 1830/31</w:t>
      </w:r>
      <w:r w:rsidRPr="00E436A8">
        <w:t xml:space="preserve"> war der erste größere </w:t>
      </w:r>
      <w:hyperlink r:id="rId10" w:tooltip="Aufstand" w:history="1">
        <w:r w:rsidRPr="00E436A8">
          <w:t>Aufstand</w:t>
        </w:r>
      </w:hyperlink>
      <w:r w:rsidRPr="00E436A8">
        <w:t xml:space="preserve"> der </w:t>
      </w:r>
      <w:hyperlink r:id="rId11" w:tooltip="Polen" w:history="1">
        <w:r w:rsidRPr="00E436A8">
          <w:t>Polen</w:t>
        </w:r>
      </w:hyperlink>
      <w:r w:rsidRPr="00E436A8">
        <w:t xml:space="preserve"> nach dem </w:t>
      </w:r>
      <w:hyperlink r:id="rId12" w:tooltip="Wiener Kongress" w:history="1">
        <w:r w:rsidRPr="00E436A8">
          <w:t>Wiener Kongress</w:t>
        </w:r>
      </w:hyperlink>
      <w:r w:rsidRPr="00E436A8">
        <w:t xml:space="preserve">, der die Unabhängigkeit Polens zum Ziel hatte. Es kam zur Bildung einer nationalen Regierung. Die militärischen Auseinandersetzungen verliefen zunächst für die Polen günstig, bis sie schließlich der Übermacht der russischen Armee erlagen. Nach der Niederlage kam es zur politischen Emigration zahlreicher Anhänger des Aufstandes. </w:t>
      </w:r>
    </w:p>
    <w:p w:rsidR="00E436A8" w:rsidRPr="00E436A8" w:rsidRDefault="00E436A8" w:rsidP="00C30089">
      <w:pPr>
        <w:suppressLineNumbers/>
        <w:tabs>
          <w:tab w:val="center" w:pos="4535"/>
        </w:tabs>
        <w:rPr>
          <w:sz w:val="20"/>
          <w:szCs w:val="20"/>
        </w:rPr>
      </w:pPr>
      <w:r w:rsidRPr="00E436A8">
        <w:rPr>
          <w:sz w:val="20"/>
          <w:szCs w:val="20"/>
        </w:rPr>
        <w:t>(</w:t>
      </w:r>
      <w:hyperlink r:id="rId13" w:history="1">
        <w:r w:rsidRPr="00E436A8">
          <w:rPr>
            <w:rStyle w:val="Hyperlink"/>
            <w:sz w:val="20"/>
            <w:szCs w:val="20"/>
          </w:rPr>
          <w:t>https://de.wikipedia.org/wiki/Novemberaufstand</w:t>
        </w:r>
      </w:hyperlink>
      <w:r w:rsidR="00C22CA8">
        <w:rPr>
          <w:sz w:val="20"/>
          <w:szCs w:val="20"/>
        </w:rPr>
        <w:t>, gekürzt</w:t>
      </w:r>
      <w:r w:rsidRPr="00E436A8">
        <w:rPr>
          <w:sz w:val="20"/>
          <w:szCs w:val="20"/>
        </w:rPr>
        <w:t xml:space="preserve">) </w:t>
      </w:r>
    </w:p>
    <w:p w:rsidR="00C30089" w:rsidRDefault="00C30089" w:rsidP="00C30089">
      <w:pPr>
        <w:suppressLineNumbers/>
        <w:tabs>
          <w:tab w:val="center" w:pos="4535"/>
        </w:tabs>
        <w:rPr>
          <w:b/>
          <w:sz w:val="20"/>
          <w:szCs w:val="20"/>
        </w:rPr>
      </w:pPr>
    </w:p>
    <w:p w:rsidR="00E436A8" w:rsidRPr="009C376E" w:rsidRDefault="00E436A8" w:rsidP="00C30089">
      <w:pPr>
        <w:suppressLineNumbers/>
        <w:tabs>
          <w:tab w:val="center" w:pos="4535"/>
        </w:tabs>
        <w:rPr>
          <w:b/>
        </w:rPr>
      </w:pPr>
      <w:r w:rsidRPr="009C376E">
        <w:rPr>
          <w:b/>
        </w:rPr>
        <w:t xml:space="preserve">M </w:t>
      </w:r>
      <w:r w:rsidR="00340CA6" w:rsidRPr="009C376E">
        <w:rPr>
          <w:b/>
        </w:rPr>
        <w:t>4</w:t>
      </w:r>
      <w:r w:rsidRPr="009C376E">
        <w:rPr>
          <w:b/>
        </w:rPr>
        <w:t>: Polenbegeisterung in Europa</w:t>
      </w:r>
    </w:p>
    <w:p w:rsidR="00E436A8" w:rsidRPr="00E436A8" w:rsidRDefault="00E436A8" w:rsidP="00E436A8">
      <w:pPr>
        <w:suppressLineNumbers/>
        <w:tabs>
          <w:tab w:val="center" w:pos="4535"/>
        </w:tabs>
      </w:pPr>
      <w:r w:rsidRPr="00E436A8">
        <w:t>„Polenbegeisterung“ wurde die begei</w:t>
      </w:r>
      <w:r>
        <w:t>sterte Anteilnahm</w:t>
      </w:r>
      <w:r w:rsidR="00C00469">
        <w:t>e der</w:t>
      </w:r>
      <w:r w:rsidRPr="00E436A8">
        <w:t xml:space="preserve"> </w:t>
      </w:r>
      <w:hyperlink r:id="rId14" w:tooltip="Liberalismus" w:history="1">
        <w:r w:rsidRPr="00E436A8">
          <w:rPr>
            <w:rStyle w:val="Hyperlink"/>
            <w:color w:val="auto"/>
            <w:u w:val="none"/>
          </w:rPr>
          <w:t>Liberalen</w:t>
        </w:r>
      </w:hyperlink>
      <w:r w:rsidRPr="00E436A8">
        <w:t xml:space="preserve"> am Freiheitskampf der </w:t>
      </w:r>
      <w:hyperlink r:id="rId15" w:tooltip="Polen (Ethnie)" w:history="1">
        <w:r w:rsidRPr="00E436A8">
          <w:rPr>
            <w:rStyle w:val="Hyperlink"/>
            <w:color w:val="auto"/>
            <w:u w:val="none"/>
          </w:rPr>
          <w:t>Polen</w:t>
        </w:r>
      </w:hyperlink>
      <w:r w:rsidRPr="00E436A8">
        <w:t xml:space="preserve"> im </w:t>
      </w:r>
      <w:hyperlink r:id="rId16" w:tooltip="Novemberaufstand" w:history="1">
        <w:r w:rsidRPr="00E436A8">
          <w:rPr>
            <w:rStyle w:val="Hyperlink"/>
            <w:color w:val="auto"/>
            <w:u w:val="none"/>
          </w:rPr>
          <w:t>Novemberaufstand</w:t>
        </w:r>
      </w:hyperlink>
      <w:r w:rsidRPr="00E436A8">
        <w:t xml:space="preserve"> von 1830/1831</w:t>
      </w:r>
      <w:r>
        <w:t xml:space="preserve"> genannt</w:t>
      </w:r>
      <w:r w:rsidRPr="00E436A8">
        <w:t xml:space="preserve">. Organisatorisch manifestierte sie sich in den regionalen </w:t>
      </w:r>
      <w:hyperlink r:id="rId17" w:tooltip="Polenvereine" w:history="1">
        <w:r w:rsidRPr="00E436A8">
          <w:rPr>
            <w:rStyle w:val="Hyperlink"/>
            <w:color w:val="auto"/>
            <w:u w:val="none"/>
          </w:rPr>
          <w:t>Polenvereinen</w:t>
        </w:r>
      </w:hyperlink>
      <w:r>
        <w:t>,</w:t>
      </w:r>
      <w:r w:rsidRPr="00E436A8">
        <w:t xml:space="preserve"> </w:t>
      </w:r>
      <w:r>
        <w:t xml:space="preserve">die </w:t>
      </w:r>
      <w:r w:rsidRPr="00E436A8">
        <w:t xml:space="preserve">die </w:t>
      </w:r>
      <w:r>
        <w:t xml:space="preserve">polnischen </w:t>
      </w:r>
      <w:hyperlink r:id="rId18" w:tooltip="Emigration" w:history="1">
        <w:r w:rsidRPr="00E436A8">
          <w:rPr>
            <w:rStyle w:val="Hyperlink"/>
            <w:color w:val="auto"/>
            <w:u w:val="none"/>
          </w:rPr>
          <w:t>Emigranten</w:t>
        </w:r>
      </w:hyperlink>
      <w:r w:rsidRPr="00E436A8">
        <w:t xml:space="preserve"> auf ihrem Weg </w:t>
      </w:r>
      <w:r w:rsidR="00BE78EB">
        <w:t xml:space="preserve">ins Exil </w:t>
      </w:r>
      <w:r w:rsidRPr="00E436A8">
        <w:t>nach Frankreich oder England</w:t>
      </w:r>
      <w:r w:rsidR="00547134">
        <w:t xml:space="preserve"> unterstützten. Die Polenbegeisterung war eine Ge</w:t>
      </w:r>
      <w:r w:rsidRPr="00E436A8">
        <w:t xml:space="preserve">genbewegung zur </w:t>
      </w:r>
      <w:hyperlink r:id="rId19" w:tooltip="Restauration (Geschichte)" w:history="1">
        <w:r w:rsidRPr="00E436A8">
          <w:rPr>
            <w:rStyle w:val="Hyperlink"/>
            <w:color w:val="auto"/>
            <w:u w:val="none"/>
          </w:rPr>
          <w:t>Restauration</w:t>
        </w:r>
      </w:hyperlink>
      <w:r w:rsidR="00547134">
        <w:t>.</w:t>
      </w:r>
    </w:p>
    <w:p w:rsidR="00E436A8" w:rsidRPr="00E436A8" w:rsidRDefault="00C22CA8" w:rsidP="00C30089">
      <w:pPr>
        <w:suppressLineNumbers/>
        <w:tabs>
          <w:tab w:val="center" w:pos="4535"/>
        </w:tabs>
        <w:rPr>
          <w:sz w:val="20"/>
          <w:szCs w:val="20"/>
        </w:rPr>
      </w:pPr>
      <w:r>
        <w:t>(</w:t>
      </w:r>
      <w:hyperlink r:id="rId20" w:history="1">
        <w:r w:rsidR="00547134" w:rsidRPr="001D04E3">
          <w:rPr>
            <w:rStyle w:val="Hyperlink"/>
            <w:sz w:val="20"/>
            <w:szCs w:val="20"/>
          </w:rPr>
          <w:t>https://de.wikipedia.org/wiki/Polenschw%C3%A4rmerei</w:t>
        </w:r>
      </w:hyperlink>
      <w:r>
        <w:rPr>
          <w:sz w:val="20"/>
          <w:szCs w:val="20"/>
        </w:rPr>
        <w:t>, gekürzt)</w:t>
      </w:r>
    </w:p>
    <w:p w:rsidR="00C00469" w:rsidRDefault="00C00469" w:rsidP="00C30089">
      <w:pPr>
        <w:suppressLineNumbers/>
        <w:tabs>
          <w:tab w:val="center" w:pos="4535"/>
        </w:tabs>
      </w:pPr>
    </w:p>
    <w:p w:rsidR="00EF06FA" w:rsidRPr="00EF06FA" w:rsidRDefault="00EF06FA" w:rsidP="00EF06FA">
      <w:pPr>
        <w:suppressLineNumbers/>
        <w:tabs>
          <w:tab w:val="center" w:pos="4535"/>
        </w:tabs>
        <w:rPr>
          <w:b/>
        </w:rPr>
      </w:pPr>
      <w:r w:rsidRPr="00EF06FA">
        <w:rPr>
          <w:b/>
        </w:rPr>
        <w:t>M 5: Hauptdurchzugswege der polnischen Kriegsflüchtlinge in Süddeutschland (1831/32)</w:t>
      </w:r>
    </w:p>
    <w:p w:rsidR="00EF06FA" w:rsidRDefault="00EF06FA" w:rsidP="00C30089">
      <w:pPr>
        <w:suppressLineNumbers/>
        <w:tabs>
          <w:tab w:val="center" w:pos="4535"/>
        </w:tabs>
        <w:rPr>
          <w:b/>
        </w:rPr>
      </w:pPr>
      <w:r>
        <w:rPr>
          <w:noProof/>
        </w:rPr>
        <w:drawing>
          <wp:inline distT="0" distB="0" distL="0" distR="0" wp14:anchorId="0A913983" wp14:editId="00580FFD">
            <wp:extent cx="5059932" cy="3806830"/>
            <wp:effectExtent l="0" t="0" r="7368" b="3170"/>
            <wp:docPr id="3" name="Inhaltsplatzhalter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059932" cy="3806830"/>
                    </a:xfrm>
                    <a:prstGeom prst="rect">
                      <a:avLst/>
                    </a:prstGeom>
                    <a:noFill/>
                    <a:ln>
                      <a:noFill/>
                      <a:prstDash/>
                    </a:ln>
                  </pic:spPr>
                </pic:pic>
              </a:graphicData>
            </a:graphic>
          </wp:inline>
        </w:drawing>
      </w:r>
    </w:p>
    <w:p w:rsidR="00EF06FA" w:rsidRDefault="00EF06FA" w:rsidP="00C30089">
      <w:pPr>
        <w:suppressLineNumbers/>
        <w:tabs>
          <w:tab w:val="center" w:pos="4535"/>
        </w:tabs>
      </w:pPr>
      <w:r w:rsidRPr="00EF06FA">
        <w:lastRenderedPageBreak/>
        <w:t xml:space="preserve">Matthias Kneip/Manfred Mack, Polnische Geschichte und deutsch-polnische Beziehungen. </w:t>
      </w:r>
      <w:r>
        <w:t>Berlin (</w:t>
      </w:r>
      <w:r w:rsidRPr="00EF06FA">
        <w:t>Cornelsen</w:t>
      </w:r>
      <w:r>
        <w:t>)</w:t>
      </w:r>
      <w:r w:rsidRPr="00EF06FA">
        <w:t xml:space="preserve"> 2007, S. 49, B 7</w:t>
      </w:r>
      <w:r>
        <w:t>, mit freundlicher Genehmigung des Cornelsen-Verlags</w:t>
      </w:r>
    </w:p>
    <w:p w:rsidR="00EF06FA" w:rsidRPr="00EF06FA" w:rsidRDefault="00EF06FA" w:rsidP="00C30089">
      <w:pPr>
        <w:suppressLineNumbers/>
        <w:tabs>
          <w:tab w:val="center" w:pos="4535"/>
        </w:tabs>
      </w:pPr>
    </w:p>
    <w:p w:rsidR="00547134" w:rsidRPr="009C376E" w:rsidRDefault="00547134" w:rsidP="00C30089">
      <w:pPr>
        <w:suppressLineNumbers/>
        <w:tabs>
          <w:tab w:val="center" w:pos="4535"/>
        </w:tabs>
        <w:rPr>
          <w:b/>
        </w:rPr>
      </w:pPr>
      <w:r w:rsidRPr="009C376E">
        <w:rPr>
          <w:b/>
        </w:rPr>
        <w:t>M</w:t>
      </w:r>
      <w:r w:rsidR="00340CA6" w:rsidRPr="009C376E">
        <w:rPr>
          <w:b/>
        </w:rPr>
        <w:t xml:space="preserve"> </w:t>
      </w:r>
      <w:r w:rsidR="00EF06FA">
        <w:rPr>
          <w:b/>
        </w:rPr>
        <w:t>6</w:t>
      </w:r>
      <w:r w:rsidRPr="009C376E">
        <w:rPr>
          <w:b/>
        </w:rPr>
        <w:t>: Polenverein (1831)</w:t>
      </w:r>
    </w:p>
    <w:p w:rsidR="00547134" w:rsidRDefault="00547134" w:rsidP="00C30089">
      <w:pPr>
        <w:suppressLineNumbers/>
        <w:tabs>
          <w:tab w:val="center" w:pos="4535"/>
        </w:tabs>
        <w:rPr>
          <w:b/>
          <w:sz w:val="20"/>
          <w:szCs w:val="20"/>
        </w:rPr>
      </w:pPr>
      <w:r>
        <w:rPr>
          <w:noProof/>
        </w:rPr>
        <w:drawing>
          <wp:inline distT="0" distB="0" distL="0" distR="0" wp14:anchorId="22757D40" wp14:editId="1052B6F3">
            <wp:extent cx="5581650" cy="3905250"/>
            <wp:effectExtent l="0" t="0" r="0" b="0"/>
            <wp:docPr id="2" name="Picture 2" descr="https://upload.wikimedia.org/wikipedia/commons/thumb/4/41/LosFrauenverein_zu_Gunsten_Polen.jpg/1024px-LosFrauenverein_zu_Gunsten_Polen.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5582086" cy="3905555"/>
                    </a:xfrm>
                    <a:prstGeom prst="rect">
                      <a:avLst/>
                    </a:prstGeom>
                    <a:noFill/>
                    <a:ln>
                      <a:noFill/>
                      <a:prstDash/>
                    </a:ln>
                  </pic:spPr>
                </pic:pic>
              </a:graphicData>
            </a:graphic>
          </wp:inline>
        </w:drawing>
      </w:r>
    </w:p>
    <w:p w:rsidR="00F1004E" w:rsidRPr="00A24583" w:rsidRDefault="00A24583" w:rsidP="00F1004E">
      <w:pPr>
        <w:suppressLineNumbers/>
        <w:tabs>
          <w:tab w:val="center" w:pos="4535"/>
        </w:tabs>
      </w:pPr>
      <w:r w:rsidRPr="00A24583">
        <w:t xml:space="preserve">Quelle: </w:t>
      </w:r>
      <w:r w:rsidR="00F1004E" w:rsidRPr="00A24583">
        <w:t xml:space="preserve">By Unknown - [][from]=1820-01-01 Demokratiegeschichte.eu], Public Domain, </w:t>
      </w:r>
      <w:hyperlink r:id="rId23" w:history="1">
        <w:r w:rsidR="00F1004E" w:rsidRPr="00A24583">
          <w:rPr>
            <w:rStyle w:val="Hyperlink"/>
          </w:rPr>
          <w:t>https://commons.wikimedia.org/w/index.php?curid=10234708</w:t>
        </w:r>
      </w:hyperlink>
    </w:p>
    <w:p w:rsidR="00A24583" w:rsidRDefault="00A24583" w:rsidP="00C30089">
      <w:pPr>
        <w:suppressLineNumbers/>
        <w:tabs>
          <w:tab w:val="center" w:pos="4535"/>
        </w:tabs>
        <w:rPr>
          <w:b/>
        </w:rPr>
      </w:pPr>
    </w:p>
    <w:p w:rsidR="00A24583" w:rsidRDefault="00A24583" w:rsidP="00C30089">
      <w:pPr>
        <w:suppressLineNumbers/>
        <w:tabs>
          <w:tab w:val="center" w:pos="4535"/>
        </w:tabs>
        <w:rPr>
          <w:b/>
        </w:rPr>
      </w:pPr>
    </w:p>
    <w:p w:rsidR="00A24583" w:rsidRDefault="00A24583" w:rsidP="00C30089">
      <w:pPr>
        <w:suppressLineNumbers/>
        <w:tabs>
          <w:tab w:val="center" w:pos="4535"/>
        </w:tabs>
        <w:rPr>
          <w:b/>
        </w:rPr>
      </w:pPr>
    </w:p>
    <w:p w:rsidR="00A24583" w:rsidRDefault="00A24583" w:rsidP="00C30089">
      <w:pPr>
        <w:suppressLineNumbers/>
        <w:tabs>
          <w:tab w:val="center" w:pos="4535"/>
        </w:tabs>
        <w:rPr>
          <w:b/>
        </w:rPr>
      </w:pPr>
    </w:p>
    <w:p w:rsidR="00A24583" w:rsidRDefault="00A24583" w:rsidP="00C30089">
      <w:pPr>
        <w:suppressLineNumbers/>
        <w:tabs>
          <w:tab w:val="center" w:pos="4535"/>
        </w:tabs>
        <w:rPr>
          <w:b/>
        </w:rPr>
      </w:pPr>
    </w:p>
    <w:p w:rsidR="00A24583" w:rsidRDefault="00A24583" w:rsidP="00C30089">
      <w:pPr>
        <w:suppressLineNumbers/>
        <w:tabs>
          <w:tab w:val="center" w:pos="4535"/>
        </w:tabs>
        <w:rPr>
          <w:b/>
        </w:rPr>
      </w:pPr>
    </w:p>
    <w:p w:rsidR="00A24583" w:rsidRDefault="00A24583" w:rsidP="00C30089">
      <w:pPr>
        <w:suppressLineNumbers/>
        <w:tabs>
          <w:tab w:val="center" w:pos="4535"/>
        </w:tabs>
        <w:rPr>
          <w:b/>
        </w:rPr>
      </w:pPr>
    </w:p>
    <w:p w:rsidR="00F80946" w:rsidRDefault="00F80946" w:rsidP="00C30089">
      <w:pPr>
        <w:suppressLineNumbers/>
        <w:tabs>
          <w:tab w:val="center" w:pos="4535"/>
        </w:tabs>
        <w:rPr>
          <w:b/>
        </w:rPr>
      </w:pPr>
    </w:p>
    <w:p w:rsidR="00547134" w:rsidRPr="009C376E" w:rsidRDefault="00EF06FA" w:rsidP="00C30089">
      <w:pPr>
        <w:suppressLineNumbers/>
        <w:tabs>
          <w:tab w:val="center" w:pos="4535"/>
        </w:tabs>
        <w:rPr>
          <w:b/>
        </w:rPr>
      </w:pPr>
      <w:r>
        <w:rPr>
          <w:b/>
        </w:rPr>
        <w:lastRenderedPageBreak/>
        <w:t>M 7</w:t>
      </w:r>
      <w:r w:rsidR="00986191" w:rsidRPr="009C376E">
        <w:rPr>
          <w:b/>
        </w:rPr>
        <w:t>: Die letzten Zehn vom vierten Regiment</w:t>
      </w:r>
      <w:r w:rsidR="007802ED" w:rsidRPr="009C376E">
        <w:rPr>
          <w:b/>
        </w:rPr>
        <w:t xml:space="preserve"> bei ihrem Übergange über die preußische Grenze im Herbst 1831</w:t>
      </w:r>
      <w:r w:rsidR="00986191" w:rsidRPr="009C376E">
        <w:rPr>
          <w:b/>
        </w:rPr>
        <w:t xml:space="preserve"> (</w:t>
      </w:r>
      <w:r w:rsidR="0093346B" w:rsidRPr="009C376E">
        <w:rPr>
          <w:b/>
        </w:rPr>
        <w:t xml:space="preserve">populäres </w:t>
      </w:r>
      <w:r w:rsidR="00986191" w:rsidRPr="009C376E">
        <w:rPr>
          <w:b/>
        </w:rPr>
        <w:t>Polenlied</w:t>
      </w:r>
      <w:r w:rsidR="0093346B" w:rsidRPr="009C376E">
        <w:rPr>
          <w:b/>
        </w:rPr>
        <w:t>, komponiert von</w:t>
      </w:r>
      <w:r w:rsidR="00986191" w:rsidRPr="009C376E">
        <w:rPr>
          <w:b/>
        </w:rPr>
        <w:t xml:space="preserve"> </w:t>
      </w:r>
      <w:r w:rsidR="0093346B" w:rsidRPr="009C376E">
        <w:rPr>
          <w:b/>
        </w:rPr>
        <w:t>dem</w:t>
      </w:r>
      <w:r w:rsidR="007802ED" w:rsidRPr="009C376E">
        <w:rPr>
          <w:b/>
        </w:rPr>
        <w:t xml:space="preserve"> </w:t>
      </w:r>
      <w:r w:rsidR="0093346B" w:rsidRPr="009C376E">
        <w:rPr>
          <w:b/>
        </w:rPr>
        <w:t xml:space="preserve">deutschen </w:t>
      </w:r>
      <w:r w:rsidR="007802ED" w:rsidRPr="009C376E">
        <w:rPr>
          <w:b/>
        </w:rPr>
        <w:t xml:space="preserve">Studenten Julius Mosen, </w:t>
      </w:r>
      <w:r w:rsidR="00986191" w:rsidRPr="009C376E">
        <w:rPr>
          <w:b/>
        </w:rPr>
        <w:t>1831)</w:t>
      </w:r>
    </w:p>
    <w:p w:rsidR="00986191" w:rsidRDefault="00B974A4" w:rsidP="00C30089">
      <w:pPr>
        <w:suppressLineNumbers/>
        <w:tabs>
          <w:tab w:val="center" w:pos="4535"/>
        </w:tabs>
        <w:rPr>
          <w:b/>
          <w:sz w:val="20"/>
          <w:szCs w:val="20"/>
        </w:rPr>
      </w:pPr>
      <w:r w:rsidRPr="00B974A4">
        <w:rPr>
          <w:b/>
          <w:noProof/>
          <w:sz w:val="20"/>
          <w:szCs w:val="20"/>
        </w:rPr>
        <w:drawing>
          <wp:inline distT="0" distB="0" distL="0" distR="0">
            <wp:extent cx="5759450" cy="3722045"/>
            <wp:effectExtent l="0" t="0" r="0" b="0"/>
            <wp:docPr id="5" name="Grafik 5" descr="File:A tousand brave men 1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A tousand brave men 183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3722045"/>
                    </a:xfrm>
                    <a:prstGeom prst="rect">
                      <a:avLst/>
                    </a:prstGeom>
                    <a:noFill/>
                    <a:ln>
                      <a:noFill/>
                    </a:ln>
                  </pic:spPr>
                </pic:pic>
              </a:graphicData>
            </a:graphic>
          </wp:inline>
        </w:drawing>
      </w:r>
    </w:p>
    <w:p w:rsidR="00F1004E" w:rsidRPr="00F1004E" w:rsidRDefault="00A24583" w:rsidP="00F1004E">
      <w:pPr>
        <w:suppressLineNumbers/>
        <w:tabs>
          <w:tab w:val="center" w:pos="4535"/>
        </w:tabs>
        <w:rPr>
          <w:u w:val="single"/>
        </w:rPr>
      </w:pPr>
      <w:r w:rsidRPr="00A24583">
        <w:t xml:space="preserve">Quelle: </w:t>
      </w:r>
      <w:r w:rsidR="00F1004E" w:rsidRPr="00A24583">
        <w:t>Von Georg Benedikt Wunder - [2], Gemeinfrei,</w:t>
      </w:r>
      <w:r w:rsidR="00F1004E" w:rsidRPr="00F1004E">
        <w:rPr>
          <w:u w:val="single"/>
        </w:rPr>
        <w:t xml:space="preserve"> </w:t>
      </w:r>
      <w:hyperlink r:id="rId25" w:history="1">
        <w:r w:rsidR="00F1004E" w:rsidRPr="00F1004E">
          <w:rPr>
            <w:rStyle w:val="Hyperlink"/>
          </w:rPr>
          <w:t>https://commons.wikimedia.org/w/index.php?curid=8937169</w:t>
        </w:r>
      </w:hyperlink>
    </w:p>
    <w:p w:rsidR="00F1004E" w:rsidRDefault="00F1004E" w:rsidP="00C30089">
      <w:pPr>
        <w:suppressLineNumbers/>
        <w:tabs>
          <w:tab w:val="center" w:pos="4535"/>
        </w:tabs>
        <w:rPr>
          <w:b/>
        </w:rPr>
      </w:pPr>
    </w:p>
    <w:p w:rsidR="009F5722" w:rsidRPr="009C376E" w:rsidRDefault="00EF06FA" w:rsidP="00C30089">
      <w:pPr>
        <w:suppressLineNumbers/>
        <w:tabs>
          <w:tab w:val="center" w:pos="4535"/>
        </w:tabs>
        <w:rPr>
          <w:b/>
        </w:rPr>
      </w:pPr>
      <w:r>
        <w:rPr>
          <w:b/>
        </w:rPr>
        <w:t>M 8</w:t>
      </w:r>
      <w:r w:rsidR="00B5447E" w:rsidRPr="009C376E">
        <w:rPr>
          <w:b/>
        </w:rPr>
        <w:t xml:space="preserve">: </w:t>
      </w:r>
      <w:r w:rsidR="00340CA6" w:rsidRPr="009C376E">
        <w:rPr>
          <w:b/>
        </w:rPr>
        <w:t xml:space="preserve">Der badische Pfarrer </w:t>
      </w:r>
      <w:r w:rsidR="00B5447E" w:rsidRPr="009C376E">
        <w:rPr>
          <w:b/>
        </w:rPr>
        <w:t>Johann Philipp Glock</w:t>
      </w:r>
      <w:r w:rsidR="00340CA6" w:rsidRPr="009C376E">
        <w:rPr>
          <w:b/>
        </w:rPr>
        <w:t xml:space="preserve"> (geb. 1849)</w:t>
      </w:r>
      <w:r w:rsidR="00E252FE" w:rsidRPr="009C376E">
        <w:rPr>
          <w:b/>
        </w:rPr>
        <w:t>, dessen Vater an der badischen Revolution beteiligt war,</w:t>
      </w:r>
      <w:r w:rsidR="00340CA6" w:rsidRPr="009C376E">
        <w:rPr>
          <w:b/>
        </w:rPr>
        <w:t xml:space="preserve"> schreibt</w:t>
      </w:r>
      <w:r w:rsidR="00B5447E" w:rsidRPr="009C376E">
        <w:rPr>
          <w:b/>
        </w:rPr>
        <w:t xml:space="preserve"> über die „Polenlieder“</w:t>
      </w:r>
    </w:p>
    <w:p w:rsidR="00B5447E" w:rsidRDefault="007B226C" w:rsidP="0077050F">
      <w:pPr>
        <w:tabs>
          <w:tab w:val="center" w:pos="4535"/>
        </w:tabs>
      </w:pPr>
      <w:r>
        <w:t>„</w:t>
      </w:r>
      <w:r w:rsidR="00B5447E">
        <w:t xml:space="preserve">Das waren Lieder, welche die von den Polen in ihrem Aufstand gegen Russland bewiesene Tapferkeit verherrlichten. Aus einer Art kosmopolitischer Sympathie fanden die slawischen Siegeshymnen einen berauschenden </w:t>
      </w:r>
      <w:r w:rsidR="003A0EEA">
        <w:t xml:space="preserve">Widerhall in den Herzen schlichter </w:t>
      </w:r>
      <w:r w:rsidR="00B5447E">
        <w:t>Bürger, weil dieselben in den immer trüber werdenden Zeiten des politischen Lebens im eigenen Lager keine Fr</w:t>
      </w:r>
      <w:r w:rsidR="003A0EEA">
        <w:t xml:space="preserve">eiheitshelden mehr besaßen. </w:t>
      </w:r>
      <w:r w:rsidR="00B5447E">
        <w:t>Auch die kleinsten Landstädtchen hatten ihren Polenklub mit besonderem Klublokal, in dem sich die sogenannten Honoratioren des Ortes, die Geistlichen und Lehrer nicht ausgeschlossen, allabendlich zusammenfanden. In diesen Polenklubs wurden Polenreden gehalten, Polenhochs ausgebracht, Polenlieder gesungen, aus Polenhumpen getrunken und aus Polenpfeifen tapfer dazu geraucht</w:t>
      </w:r>
      <w:r w:rsidR="003A0EEA">
        <w:t>.</w:t>
      </w:r>
      <w:r>
        <w:t>“</w:t>
      </w:r>
    </w:p>
    <w:p w:rsidR="0093346B" w:rsidRDefault="003A0EEA" w:rsidP="00C30089">
      <w:pPr>
        <w:suppressLineNumbers/>
        <w:tabs>
          <w:tab w:val="center" w:pos="4535"/>
        </w:tabs>
        <w:rPr>
          <w:u w:val="single"/>
        </w:rPr>
      </w:pPr>
      <w:r>
        <w:rPr>
          <w:sz w:val="20"/>
          <w:szCs w:val="20"/>
        </w:rPr>
        <w:t>(</w:t>
      </w:r>
      <w:hyperlink r:id="rId26" w:anchor="cite_ref-GBN_1-3" w:history="1">
        <w:r w:rsidRPr="001D04E3">
          <w:rPr>
            <w:rStyle w:val="Hyperlink"/>
            <w:sz w:val="20"/>
            <w:szCs w:val="20"/>
          </w:rPr>
          <w:t>https://de.wikipedia.org/wiki/Polenschw%C3%A4rmerei#cite_ref-GBN_1-3</w:t>
        </w:r>
      </w:hyperlink>
      <w:r w:rsidR="00340CA6">
        <w:rPr>
          <w:sz w:val="20"/>
          <w:szCs w:val="20"/>
        </w:rPr>
        <w:t>, gekürzt</w:t>
      </w:r>
      <w:r>
        <w:rPr>
          <w:sz w:val="20"/>
          <w:szCs w:val="20"/>
        </w:rPr>
        <w:t>)</w:t>
      </w:r>
    </w:p>
    <w:p w:rsidR="003A0EEA" w:rsidRDefault="003A0EEA" w:rsidP="00C30089">
      <w:pPr>
        <w:suppressLineNumbers/>
        <w:tabs>
          <w:tab w:val="center" w:pos="4535"/>
        </w:tabs>
        <w:rPr>
          <w:u w:val="single"/>
        </w:rPr>
      </w:pPr>
    </w:p>
    <w:p w:rsidR="003A0EEA" w:rsidRDefault="003A0EEA" w:rsidP="00C30089">
      <w:pPr>
        <w:suppressLineNumbers/>
        <w:tabs>
          <w:tab w:val="center" w:pos="4535"/>
        </w:tabs>
        <w:rPr>
          <w:u w:val="single"/>
        </w:rPr>
      </w:pPr>
    </w:p>
    <w:p w:rsidR="00340CA6" w:rsidRDefault="00340CA6" w:rsidP="00340CA6">
      <w:pPr>
        <w:pBdr>
          <w:top w:val="single" w:sz="4" w:space="1" w:color="000000"/>
          <w:left w:val="single" w:sz="4" w:space="4" w:color="000000"/>
          <w:bottom w:val="single" w:sz="4" w:space="1" w:color="000000"/>
          <w:right w:val="single" w:sz="4" w:space="4" w:color="000000"/>
        </w:pBdr>
      </w:pPr>
      <w:r>
        <w:lastRenderedPageBreak/>
        <w:t>1. Erläutere, wie das Bürgertum auf die Ankunft der polnischen Kriegsflüch</w:t>
      </w:r>
      <w:r w:rsidR="00F1004E">
        <w:t>tlinge reagiert hat</w:t>
      </w:r>
      <w:r w:rsidR="00EF06FA">
        <w:t>. (M 3 - M 8</w:t>
      </w:r>
      <w:r>
        <w:t>)</w:t>
      </w:r>
    </w:p>
    <w:p w:rsidR="00340CA6" w:rsidRDefault="00340CA6" w:rsidP="00340CA6">
      <w:pPr>
        <w:pBdr>
          <w:top w:val="single" w:sz="4" w:space="1" w:color="000000"/>
          <w:left w:val="single" w:sz="4" w:space="4" w:color="000000"/>
          <w:bottom w:val="single" w:sz="4" w:space="1" w:color="000000"/>
          <w:right w:val="single" w:sz="4" w:space="4" w:color="000000"/>
        </w:pBdr>
      </w:pPr>
      <w:r>
        <w:t>2. Nenne Gründe für seine Reaktionen. Tipp: Hat es wohl nur aus Mitleid mit den Polen so reagiert?</w:t>
      </w:r>
    </w:p>
    <w:p w:rsidR="00340CA6" w:rsidRPr="003541C4" w:rsidRDefault="00340CA6" w:rsidP="00C30089">
      <w:pPr>
        <w:suppressLineNumbers/>
        <w:tabs>
          <w:tab w:val="center" w:pos="4535"/>
        </w:tabs>
        <w:rPr>
          <w:b/>
          <w:sz w:val="20"/>
          <w:szCs w:val="20"/>
        </w:rPr>
      </w:pPr>
    </w:p>
    <w:p w:rsidR="00813320" w:rsidRDefault="00813320">
      <w:pPr>
        <w:rPr>
          <w:rFonts w:cs="Helvetica"/>
          <w:b/>
          <w:color w:val="000000" w:themeColor="text1"/>
        </w:rPr>
      </w:pPr>
      <w:r>
        <w:rPr>
          <w:rFonts w:cs="Helvetica"/>
          <w:b/>
          <w:color w:val="000000" w:themeColor="text1"/>
        </w:rPr>
        <w:br w:type="page"/>
      </w:r>
    </w:p>
    <w:p w:rsidR="0051690E" w:rsidRDefault="009C376E" w:rsidP="00335FAC">
      <w:pPr>
        <w:rPr>
          <w:rFonts w:cs="Helvetica"/>
          <w:b/>
          <w:color w:val="000000" w:themeColor="text1"/>
        </w:rPr>
      </w:pPr>
      <w:r>
        <w:rPr>
          <w:rFonts w:cs="Helvetica"/>
          <w:b/>
          <w:caps/>
          <w:color w:val="000000" w:themeColor="text1"/>
        </w:rPr>
        <w:lastRenderedPageBreak/>
        <w:t>Erarbeitung 2</w:t>
      </w:r>
      <w:r w:rsidR="00F027C4">
        <w:rPr>
          <w:rFonts w:cs="Helvetica"/>
          <w:b/>
          <w:caps/>
          <w:color w:val="000000" w:themeColor="text1"/>
        </w:rPr>
        <w:t xml:space="preserve">: </w:t>
      </w:r>
      <w:r w:rsidR="0051690E">
        <w:rPr>
          <w:rFonts w:cs="Helvetica"/>
          <w:b/>
          <w:color w:val="000000" w:themeColor="text1"/>
        </w:rPr>
        <w:t>Bürgertum und</w:t>
      </w:r>
      <w:r w:rsidR="00F5749E">
        <w:rPr>
          <w:rFonts w:cs="Helvetica"/>
          <w:b/>
          <w:color w:val="000000" w:themeColor="text1"/>
        </w:rPr>
        <w:t xml:space="preserve"> Zensur</w:t>
      </w:r>
    </w:p>
    <w:p w:rsidR="0051690E" w:rsidRPr="009C376E" w:rsidRDefault="00A24583" w:rsidP="0051690E">
      <w:pPr>
        <w:suppressLineNumbers/>
        <w:tabs>
          <w:tab w:val="center" w:pos="4535"/>
        </w:tabs>
        <w:rPr>
          <w:b/>
        </w:rPr>
      </w:pPr>
      <w:r>
        <w:rPr>
          <w:b/>
        </w:rPr>
        <w:t>M 9</w:t>
      </w:r>
      <w:r w:rsidR="0051690E" w:rsidRPr="009C376E">
        <w:rPr>
          <w:b/>
        </w:rPr>
        <w:t>: Reaktion der Polenvereine auf die wachsende Zensur (1831)</w:t>
      </w:r>
    </w:p>
    <w:p w:rsidR="0051690E" w:rsidRDefault="0051690E" w:rsidP="00F027C4">
      <w:pPr>
        <w:suppressLineNumbers/>
      </w:pPr>
      <w:r>
        <w:t>„Je mehr die Namen und Abzeichen patriotischer Vereine vor den scharenweise aufmarschierenden Verordnungen verschwinden, desto inniger schließt sich der große geistige Verein aller Wohlgesinnten in ganz Europa gegenüber der gemeinsamen Gefahr, und je feindseliger die äußere Gewalt uns entgegen tritt, desto brüderlicher reichen wir uns die Hand zum gemeinsamen unermüdlichen Ringen nach Wahrheit und Menschenrecht.“</w:t>
      </w:r>
    </w:p>
    <w:p w:rsidR="0051690E" w:rsidRDefault="0051690E" w:rsidP="00F027C4">
      <w:pPr>
        <w:suppressLineNumbers/>
      </w:pPr>
      <w:r>
        <w:rPr>
          <w:i/>
          <w:iCs/>
        </w:rPr>
        <w:t xml:space="preserve">(Der Freisinnige, 26.6.1831, o. S.; zit. nach Gabriela Brudzyńska-Němec: Polenbegeisterung in Deutschland nach 1830, in: Europäische Geschichte Online (EGO), hg. vom Institut für Europäische Geschichte (IEG), Mainz 2010-12-03. URL: </w:t>
      </w:r>
      <w:hyperlink r:id="rId27" w:history="1">
        <w:r>
          <w:rPr>
            <w:rStyle w:val="Hyperlink"/>
            <w:i/>
            <w:iCs/>
          </w:rPr>
          <w:t>http://www.ieg-ego.eu/brudzynskanemecg-2010-de</w:t>
        </w:r>
      </w:hyperlink>
      <w:r>
        <w:rPr>
          <w:i/>
          <w:iCs/>
        </w:rPr>
        <w:t xml:space="preserve"> URN: </w:t>
      </w:r>
      <w:hyperlink r:id="rId28" w:history="1">
        <w:r>
          <w:rPr>
            <w:rStyle w:val="Hyperlink"/>
            <w:i/>
            <w:iCs/>
          </w:rPr>
          <w:t xml:space="preserve">urn:nbn:de:0159-20100921148 </w:t>
        </w:r>
      </w:hyperlink>
      <w:r>
        <w:rPr>
          <w:i/>
          <w:iCs/>
        </w:rPr>
        <w:t>)</w:t>
      </w:r>
    </w:p>
    <w:p w:rsidR="0051690E" w:rsidRDefault="0051690E" w:rsidP="0051690E">
      <w:pPr>
        <w:suppressLineNumbers/>
        <w:tabs>
          <w:tab w:val="center" w:pos="4535"/>
        </w:tabs>
        <w:rPr>
          <w:b/>
          <w:sz w:val="20"/>
          <w:szCs w:val="20"/>
        </w:rPr>
      </w:pPr>
    </w:p>
    <w:p w:rsidR="00335FAC" w:rsidRPr="009C376E" w:rsidRDefault="00A24583" w:rsidP="00335FAC">
      <w:pPr>
        <w:suppressLineNumbers/>
        <w:rPr>
          <w:b/>
        </w:rPr>
      </w:pPr>
      <w:r>
        <w:rPr>
          <w:b/>
        </w:rPr>
        <w:t>M 10</w:t>
      </w:r>
      <w:r w:rsidR="00335FAC" w:rsidRPr="009C376E">
        <w:rPr>
          <w:b/>
        </w:rPr>
        <w:t>: Der Denker-Club (anonyme Karikatur, 1819)</w:t>
      </w:r>
    </w:p>
    <w:p w:rsidR="00335FAC" w:rsidRDefault="00E32A95" w:rsidP="006057CE">
      <w:pPr>
        <w:rPr>
          <w:rFonts w:cs="Helvetica"/>
          <w:color w:val="000000" w:themeColor="text1"/>
          <w:u w:val="single"/>
        </w:rPr>
      </w:pPr>
      <w:r w:rsidRPr="00E32A95">
        <w:rPr>
          <w:rFonts w:cs="Helvetica"/>
          <w:noProof/>
          <w:color w:val="000000" w:themeColor="text1"/>
          <w:u w:val="single"/>
        </w:rPr>
        <w:drawing>
          <wp:inline distT="0" distB="0" distL="0" distR="0">
            <wp:extent cx="5543550" cy="3362325"/>
            <wp:effectExtent l="0" t="0" r="0" b="9525"/>
            <wp:docPr id="4" name="Grafik 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43550" cy="3362325"/>
                    </a:xfrm>
                    <a:prstGeom prst="rect">
                      <a:avLst/>
                    </a:prstGeom>
                    <a:noFill/>
                    <a:ln>
                      <a:noFill/>
                    </a:ln>
                  </pic:spPr>
                </pic:pic>
              </a:graphicData>
            </a:graphic>
          </wp:inline>
        </w:drawing>
      </w:r>
    </w:p>
    <w:p w:rsidR="00E32A95" w:rsidRPr="00E32A95" w:rsidRDefault="00A24583" w:rsidP="009A2BA9">
      <w:pPr>
        <w:suppressLineNumbers/>
        <w:rPr>
          <w:rFonts w:cs="Helvetica"/>
          <w:color w:val="000000" w:themeColor="text1"/>
        </w:rPr>
      </w:pPr>
      <w:r>
        <w:rPr>
          <w:rFonts w:cs="Helvetica"/>
          <w:color w:val="000000" w:themeColor="text1"/>
        </w:rPr>
        <w:t xml:space="preserve">Quelle: </w:t>
      </w:r>
      <w:r w:rsidR="00E32A95" w:rsidRPr="00E32A95">
        <w:rPr>
          <w:rFonts w:cs="Helvetica"/>
          <w:color w:val="000000" w:themeColor="text1"/>
        </w:rPr>
        <w:t xml:space="preserve">Von Der ursprünglich hochladende Benutzer war Auntieruth55 in der Wikipedia auf Englisch - </w:t>
      </w:r>
      <w:hyperlink r:id="rId30" w:history="1">
        <w:r w:rsidRPr="00961F92">
          <w:rPr>
            <w:rStyle w:val="Hyperlink"/>
            <w:rFonts w:cs="Helvetica"/>
          </w:rPr>
          <w:t>http://germanhistorydocs.ghi-dc.org/sub_image.cfm?image_id=427</w:t>
        </w:r>
      </w:hyperlink>
      <w:r>
        <w:rPr>
          <w:rFonts w:cs="Helvetica"/>
          <w:color w:val="000000" w:themeColor="text1"/>
        </w:rPr>
        <w:t xml:space="preserve"> </w:t>
      </w:r>
      <w:r w:rsidR="00E32A95" w:rsidRPr="00E32A95">
        <w:rPr>
          <w:rFonts w:cs="Helvetica"/>
          <w:color w:val="000000" w:themeColor="text1"/>
        </w:rPr>
        <w:t xml:space="preserve"> Also, Michael Behnen, "Deutschland under Napoleon, Restauration und Vormärz," in Deutsche Geschichte, von den Anfängen bis zur Gegenwart, Martin Vogt, Her. Frankfurt, Fischer, 2002. page 426.), Gemeinfrei, </w:t>
      </w:r>
      <w:hyperlink r:id="rId31" w:history="1">
        <w:r w:rsidR="00E32A95" w:rsidRPr="00E32A95">
          <w:rPr>
            <w:rStyle w:val="Hyperlink"/>
            <w:rFonts w:cs="Helvetica"/>
          </w:rPr>
          <w:t>https://commons.wikimedia.org/w/index.php?curid=7811937</w:t>
        </w:r>
      </w:hyperlink>
    </w:p>
    <w:p w:rsidR="00E32A95" w:rsidRDefault="00E32A95" w:rsidP="009A2BA9">
      <w:pPr>
        <w:suppressLineNumbers/>
        <w:rPr>
          <w:rFonts w:cs="Helvetica"/>
          <w:b/>
          <w:color w:val="000000" w:themeColor="text1"/>
        </w:rPr>
      </w:pPr>
    </w:p>
    <w:p w:rsidR="00E32A95" w:rsidRDefault="00E32A95" w:rsidP="006057CE">
      <w:pPr>
        <w:rPr>
          <w:rFonts w:cs="Helvetica"/>
          <w:b/>
          <w:color w:val="000000" w:themeColor="text1"/>
        </w:rPr>
      </w:pPr>
    </w:p>
    <w:p w:rsidR="007F3616" w:rsidRPr="00F568FF" w:rsidRDefault="007F3616" w:rsidP="006057CE">
      <w:pPr>
        <w:rPr>
          <w:rFonts w:cs="Helvetica"/>
          <w:b/>
          <w:color w:val="000000" w:themeColor="text1"/>
        </w:rPr>
      </w:pPr>
      <w:r w:rsidRPr="00F568FF">
        <w:rPr>
          <w:rFonts w:cs="Helvetica"/>
          <w:b/>
          <w:color w:val="000000" w:themeColor="text1"/>
        </w:rPr>
        <w:lastRenderedPageBreak/>
        <w:t>Aufschriften auf den beiden Tafeln an der Wand:</w:t>
      </w:r>
    </w:p>
    <w:p w:rsidR="007F3616" w:rsidRDefault="007F3616" w:rsidP="004532A0">
      <w:pPr>
        <w:suppressLineNumbers/>
        <w:rPr>
          <w:rFonts w:cs="Helvetica"/>
          <w:color w:val="000000" w:themeColor="text1"/>
        </w:rPr>
      </w:pPr>
      <w:r>
        <w:rPr>
          <w:rFonts w:cs="Helvetica"/>
          <w:color w:val="000000" w:themeColor="text1"/>
        </w:rPr>
        <w:t>Wichtige Frage, welche i</w:t>
      </w:r>
      <w:r w:rsidR="002A565E">
        <w:rPr>
          <w:rFonts w:cs="Helvetica"/>
          <w:color w:val="000000" w:themeColor="text1"/>
        </w:rPr>
        <w:t>n heutiger Sitzung bedacht wird:</w:t>
      </w:r>
      <w:r>
        <w:rPr>
          <w:rFonts w:cs="Helvetica"/>
          <w:color w:val="000000" w:themeColor="text1"/>
        </w:rPr>
        <w:t xml:space="preserve"> Wie lange möchte uns das Denken wohl noch erlaubt bleiben?</w:t>
      </w:r>
    </w:p>
    <w:p w:rsidR="007F3616" w:rsidRDefault="007F3616" w:rsidP="004532A0">
      <w:pPr>
        <w:suppressLineNumbers/>
        <w:rPr>
          <w:rFonts w:cs="Helvetica"/>
          <w:color w:val="000000" w:themeColor="text1"/>
        </w:rPr>
      </w:pPr>
      <w:r>
        <w:rPr>
          <w:rFonts w:cs="Helvetica"/>
          <w:color w:val="000000" w:themeColor="text1"/>
        </w:rPr>
        <w:t>Gesetze des Denker-Clubs</w:t>
      </w:r>
    </w:p>
    <w:p w:rsidR="007F3616" w:rsidRDefault="00F568FF" w:rsidP="004532A0">
      <w:pPr>
        <w:suppressLineNumbers/>
        <w:rPr>
          <w:rFonts w:cs="Helvetica"/>
          <w:color w:val="000000" w:themeColor="text1"/>
        </w:rPr>
      </w:pPr>
      <w:r>
        <w:rPr>
          <w:rFonts w:cs="Helvetica"/>
          <w:color w:val="000000" w:themeColor="text1"/>
        </w:rPr>
        <w:t>I</w:t>
      </w:r>
      <w:r w:rsidR="007F3616">
        <w:rPr>
          <w:rFonts w:cs="Helvetica"/>
          <w:color w:val="000000" w:themeColor="text1"/>
        </w:rPr>
        <w:t>. Der Präsident eröffnet präzise 8 Uhr die Sitzung.</w:t>
      </w:r>
    </w:p>
    <w:p w:rsidR="007F3616" w:rsidRDefault="00F568FF" w:rsidP="004532A0">
      <w:pPr>
        <w:suppressLineNumbers/>
        <w:rPr>
          <w:rFonts w:cs="Helvetica"/>
          <w:color w:val="000000" w:themeColor="text1"/>
        </w:rPr>
      </w:pPr>
      <w:r>
        <w:rPr>
          <w:rFonts w:cs="Helvetica"/>
          <w:color w:val="000000" w:themeColor="text1"/>
        </w:rPr>
        <w:t>II</w:t>
      </w:r>
      <w:r w:rsidR="007F3616">
        <w:rPr>
          <w:rFonts w:cs="Helvetica"/>
          <w:color w:val="000000" w:themeColor="text1"/>
        </w:rPr>
        <w:t>. Schweigen ist das erste Gesetz dieser gelehrten Gesellschaft.</w:t>
      </w:r>
    </w:p>
    <w:p w:rsidR="007F3616" w:rsidRDefault="00F568FF" w:rsidP="004532A0">
      <w:pPr>
        <w:suppressLineNumbers/>
        <w:rPr>
          <w:rFonts w:cs="Helvetica"/>
          <w:color w:val="000000" w:themeColor="text1"/>
        </w:rPr>
      </w:pPr>
      <w:r>
        <w:rPr>
          <w:rFonts w:cs="Helvetica"/>
          <w:color w:val="000000" w:themeColor="text1"/>
        </w:rPr>
        <w:t>III</w:t>
      </w:r>
      <w:r w:rsidR="007F3616">
        <w:rPr>
          <w:rFonts w:cs="Helvetica"/>
          <w:color w:val="000000" w:themeColor="text1"/>
        </w:rPr>
        <w:t xml:space="preserve">. </w:t>
      </w:r>
      <w:r>
        <w:rPr>
          <w:rFonts w:cs="Helvetica"/>
          <w:color w:val="000000" w:themeColor="text1"/>
        </w:rPr>
        <w:t>Auf dass kein Mitglied in Versuchung geraten möge, seiner Zunge freien Lauf zu lassen, so werden beim Eintritt Maulkörbe ausgeteilt.</w:t>
      </w:r>
    </w:p>
    <w:p w:rsidR="00F568FF" w:rsidRPr="007F3616" w:rsidRDefault="00F568FF" w:rsidP="004532A0">
      <w:pPr>
        <w:suppressLineNumbers/>
        <w:rPr>
          <w:rFonts w:cs="Helvetica"/>
          <w:color w:val="000000" w:themeColor="text1"/>
        </w:rPr>
      </w:pPr>
      <w:r>
        <w:rPr>
          <w:rFonts w:cs="Helvetica"/>
          <w:color w:val="000000" w:themeColor="text1"/>
        </w:rPr>
        <w:t>IV. Der Gegenstand, welcher in jedesmaliger Sitzung durch ein reifes Nachdenken gründlich erörtert werden soll, befindet sich auf einer Tafel mit großen Buchstaben deutlich geschrieben.</w:t>
      </w:r>
    </w:p>
    <w:p w:rsidR="007F3616" w:rsidRDefault="007F3616" w:rsidP="004532A0">
      <w:pPr>
        <w:suppressLineNumbers/>
        <w:pBdr>
          <w:top w:val="single" w:sz="4" w:space="1" w:color="auto"/>
          <w:left w:val="single" w:sz="4" w:space="4" w:color="auto"/>
          <w:bottom w:val="single" w:sz="4" w:space="1" w:color="auto"/>
          <w:right w:val="single" w:sz="4" w:space="4" w:color="auto"/>
        </w:pBdr>
      </w:pPr>
      <w:r>
        <w:t>Vergleiche:</w:t>
      </w:r>
    </w:p>
    <w:p w:rsidR="007F3616" w:rsidRDefault="007F3616" w:rsidP="004532A0">
      <w:pPr>
        <w:suppressLineNumbers/>
        <w:pBdr>
          <w:top w:val="single" w:sz="4" w:space="1" w:color="auto"/>
          <w:left w:val="single" w:sz="4" w:space="4" w:color="auto"/>
          <w:bottom w:val="single" w:sz="4" w:space="1" w:color="auto"/>
          <w:right w:val="single" w:sz="4" w:space="4" w:color="auto"/>
        </w:pBdr>
      </w:pPr>
      <w:r>
        <w:t>- die R</w:t>
      </w:r>
      <w:r w:rsidR="00F1004E">
        <w:t>eaktionen auf die Zensur in M 8 und M 9</w:t>
      </w:r>
      <w:r>
        <w:t>,</w:t>
      </w:r>
    </w:p>
    <w:p w:rsidR="007F3616" w:rsidRPr="00FE18A8" w:rsidRDefault="007F3616" w:rsidP="004532A0">
      <w:pPr>
        <w:suppressLineNumbers/>
        <w:pBdr>
          <w:top w:val="single" w:sz="4" w:space="1" w:color="auto"/>
          <w:left w:val="single" w:sz="4" w:space="4" w:color="auto"/>
          <w:bottom w:val="single" w:sz="4" w:space="1" w:color="auto"/>
          <w:right w:val="single" w:sz="4" w:space="4" w:color="auto"/>
        </w:pBdr>
      </w:pPr>
      <w:r>
        <w:t xml:space="preserve">- </w:t>
      </w:r>
      <w:r w:rsidRPr="00FE18A8">
        <w:t>das</w:t>
      </w:r>
      <w:r w:rsidR="00F1004E">
        <w:t xml:space="preserve"> Bild des Bürgertums, das in M 8</w:t>
      </w:r>
      <w:r w:rsidR="009C376E">
        <w:t xml:space="preserve"> gezeichnet wird, mit </w:t>
      </w:r>
      <w:r>
        <w:t>M 1.</w:t>
      </w:r>
    </w:p>
    <w:p w:rsidR="009C376E" w:rsidRDefault="009C376E" w:rsidP="004532A0">
      <w:pPr>
        <w:suppressLineNumbers/>
        <w:rPr>
          <w:rFonts w:cs="Helvetica"/>
          <w:b/>
          <w:color w:val="000000" w:themeColor="text1"/>
        </w:rPr>
      </w:pPr>
    </w:p>
    <w:p w:rsidR="00F568FF" w:rsidRPr="009C376E" w:rsidRDefault="00F027C4" w:rsidP="004532A0">
      <w:pPr>
        <w:suppressLineNumbers/>
        <w:rPr>
          <w:rFonts w:cs="Helvetica"/>
          <w:b/>
          <w:color w:val="000000" w:themeColor="text1"/>
        </w:rPr>
      </w:pPr>
      <w:r>
        <w:rPr>
          <w:rFonts w:cs="Helvetica"/>
          <w:b/>
          <w:color w:val="000000" w:themeColor="text1"/>
        </w:rPr>
        <w:t xml:space="preserve">Mögliche </w:t>
      </w:r>
      <w:r w:rsidR="004532A0" w:rsidRPr="009C376E">
        <w:rPr>
          <w:rFonts w:cs="Helvetica"/>
          <w:b/>
          <w:color w:val="000000" w:themeColor="text1"/>
        </w:rPr>
        <w:t>Hilfe zu M 11:</w:t>
      </w:r>
    </w:p>
    <w:p w:rsidR="004532A0" w:rsidRPr="004532A0" w:rsidRDefault="004532A0" w:rsidP="004532A0">
      <w:pPr>
        <w:suppressLineNumbers/>
        <w:rPr>
          <w:rFonts w:cs="Helvetica"/>
          <w:color w:val="000000" w:themeColor="text1"/>
        </w:rPr>
      </w:pPr>
      <w:r w:rsidRPr="004532A0">
        <w:rPr>
          <w:rFonts w:cs="Helvetica"/>
          <w:color w:val="000000" w:themeColor="text1"/>
        </w:rPr>
        <w:t xml:space="preserve">Kreuze </w:t>
      </w:r>
      <w:r>
        <w:rPr>
          <w:rFonts w:cs="Helvetica"/>
          <w:color w:val="000000" w:themeColor="text1"/>
        </w:rPr>
        <w:t>die richtige Aussage an:</w:t>
      </w:r>
    </w:p>
    <w:p w:rsidR="004532A0" w:rsidRPr="004532A0" w:rsidRDefault="004532A0" w:rsidP="004532A0">
      <w:pPr>
        <w:suppressLineNumbers/>
        <w:rPr>
          <w:rFonts w:cs="Helvetica"/>
          <w:color w:val="000000" w:themeColor="text1"/>
        </w:rPr>
      </w:pPr>
      <w:r w:rsidRPr="004532A0">
        <w:rPr>
          <w:rFonts w:cs="Helvetica"/>
          <w:color w:val="000000" w:themeColor="text1"/>
        </w:rPr>
        <w:sym w:font="Webdings" w:char="F031"/>
      </w:r>
      <w:r w:rsidRPr="004532A0">
        <w:rPr>
          <w:rFonts w:cs="Helvetica"/>
          <w:color w:val="000000" w:themeColor="text1"/>
        </w:rPr>
        <w:t xml:space="preserve"> Viele lassen sich einschüchtern, andere kämpfen weiterhin sehr entschlossen für  die Menschenrechte. Der Verfasser gehört zu der zweiten Gruppe.</w:t>
      </w:r>
    </w:p>
    <w:p w:rsidR="004532A0" w:rsidRPr="004532A0" w:rsidRDefault="004532A0" w:rsidP="004532A0">
      <w:pPr>
        <w:suppressLineNumbers/>
        <w:rPr>
          <w:rFonts w:cs="Helvetica"/>
          <w:color w:val="000000" w:themeColor="text1"/>
        </w:rPr>
      </w:pPr>
      <w:r w:rsidRPr="004532A0">
        <w:rPr>
          <w:rFonts w:cs="Helvetica"/>
          <w:color w:val="000000" w:themeColor="text1"/>
        </w:rPr>
        <w:sym w:font="Webdings" w:char="F031"/>
      </w:r>
      <w:r w:rsidRPr="004532A0">
        <w:rPr>
          <w:rFonts w:cs="Helvetica"/>
          <w:color w:val="000000" w:themeColor="text1"/>
        </w:rPr>
        <w:t xml:space="preserve"> Viele lassen sich einschüchtern, andere kämpfen weiterhin sehr entschlossen für  die Menschenrechte. Der Verfasser gehört zu der ersten Gruppe.</w:t>
      </w:r>
    </w:p>
    <w:p w:rsidR="004532A0" w:rsidRPr="004532A0" w:rsidRDefault="004532A0" w:rsidP="004532A0">
      <w:pPr>
        <w:suppressLineNumbers/>
        <w:rPr>
          <w:rFonts w:cs="Helvetica"/>
          <w:color w:val="000000" w:themeColor="text1"/>
        </w:rPr>
      </w:pPr>
      <w:r w:rsidRPr="004532A0">
        <w:rPr>
          <w:rFonts w:cs="Helvetica"/>
          <w:color w:val="000000" w:themeColor="text1"/>
        </w:rPr>
        <w:sym w:font="Webdings" w:char="F031"/>
      </w:r>
      <w:r w:rsidRPr="004532A0">
        <w:rPr>
          <w:rFonts w:cs="Helvetica"/>
          <w:color w:val="000000" w:themeColor="text1"/>
        </w:rPr>
        <w:t xml:space="preserve"> Alle kämpfen weiterhin sehr entschlossen für  die Menschenrechte. Der Verfasser findet das gut.</w:t>
      </w:r>
    </w:p>
    <w:p w:rsidR="004532A0" w:rsidRDefault="004532A0" w:rsidP="004532A0">
      <w:pPr>
        <w:suppressLineNumbers/>
        <w:rPr>
          <w:rFonts w:cs="Helvetica"/>
          <w:color w:val="000000" w:themeColor="text1"/>
        </w:rPr>
      </w:pPr>
      <w:r w:rsidRPr="004532A0">
        <w:rPr>
          <w:rFonts w:cs="Helvetica"/>
          <w:color w:val="000000" w:themeColor="text1"/>
        </w:rPr>
        <w:sym w:font="Webdings" w:char="F031"/>
      </w:r>
      <w:r w:rsidRPr="004532A0">
        <w:rPr>
          <w:rFonts w:cs="Helvetica"/>
          <w:color w:val="000000" w:themeColor="text1"/>
        </w:rPr>
        <w:t xml:space="preserve"> Alle lassen sich einschüchtern. Der Verfasser bedauert das, findet sich aber damit ab.</w:t>
      </w:r>
    </w:p>
    <w:p w:rsidR="009C376E" w:rsidRDefault="009C376E" w:rsidP="004532A0">
      <w:pPr>
        <w:suppressLineNumbers/>
        <w:rPr>
          <w:rFonts w:cs="Helvetica"/>
          <w:color w:val="000000" w:themeColor="text1"/>
        </w:rPr>
      </w:pPr>
    </w:p>
    <w:p w:rsidR="009C376E" w:rsidRDefault="009C376E" w:rsidP="004532A0">
      <w:pPr>
        <w:suppressLineNumbers/>
        <w:rPr>
          <w:rFonts w:cs="Helvetica"/>
          <w:color w:val="000000" w:themeColor="text1"/>
        </w:rPr>
      </w:pPr>
    </w:p>
    <w:p w:rsidR="00F568FF" w:rsidRDefault="009C376E" w:rsidP="004532A0">
      <w:pPr>
        <w:suppressLineNumbers/>
        <w:rPr>
          <w:rFonts w:cs="Helvetica"/>
          <w:color w:val="000000" w:themeColor="text1"/>
          <w:u w:val="single"/>
        </w:rPr>
      </w:pPr>
      <w:r w:rsidRPr="009C376E">
        <w:rPr>
          <w:rFonts w:cs="Helvetica"/>
          <w:b/>
          <w:color w:val="000000" w:themeColor="text1"/>
        </w:rPr>
        <w:t>FAZIT</w:t>
      </w:r>
    </w:p>
    <w:p w:rsidR="009C376E" w:rsidRDefault="009C376E" w:rsidP="009C376E">
      <w:pPr>
        <w:pStyle w:val="StandardWeb"/>
        <w:suppressLineNumbers/>
        <w:shd w:val="clear" w:color="auto" w:fill="FFFFFF"/>
        <w:spacing w:after="0"/>
        <w:rPr>
          <w:rFonts w:asciiTheme="minorHAnsi" w:hAnsiTheme="minorHAnsi" w:cs="Helvetica"/>
          <w:color w:val="000000" w:themeColor="text1"/>
          <w:sz w:val="22"/>
          <w:szCs w:val="22"/>
        </w:rPr>
      </w:pPr>
      <w:r>
        <w:rPr>
          <w:rFonts w:asciiTheme="minorHAnsi" w:hAnsiTheme="minorHAnsi" w:cs="Helvetica"/>
          <w:color w:val="000000" w:themeColor="text1"/>
          <w:sz w:val="22"/>
          <w:szCs w:val="22"/>
        </w:rPr>
        <w:t>In der Welle der Polenbegeisterung projiziert das Bürgertum seine eigenen Hoffnungen auf „Einheit und Freiheit“ in die Polen. Im Konflikt zwischen Auflehnung und Anpassung neigt es dann aber zur Anpassung. Die internationale Solidarität, die sich im „europäischen Völkerfrühling“ andeutete, wird brüchig.</w:t>
      </w:r>
    </w:p>
    <w:p w:rsidR="00267217" w:rsidRDefault="00267217">
      <w:pPr>
        <w:rPr>
          <w:rFonts w:cs="Helvetica"/>
          <w:color w:val="000000" w:themeColor="text1"/>
          <w:u w:val="single"/>
        </w:rPr>
      </w:pPr>
    </w:p>
    <w:p w:rsidR="00EA578D" w:rsidRPr="009C376E" w:rsidRDefault="002A565E">
      <w:pPr>
        <w:rPr>
          <w:b/>
          <w:caps/>
        </w:rPr>
      </w:pPr>
      <w:r w:rsidRPr="009C376E">
        <w:rPr>
          <w:b/>
          <w:caps/>
        </w:rPr>
        <w:lastRenderedPageBreak/>
        <w:t>Ergebnissicherung</w:t>
      </w:r>
    </w:p>
    <w:p w:rsidR="002A565E" w:rsidRDefault="002A565E" w:rsidP="009A2BA9">
      <w:pPr>
        <w:suppressLineNumbers/>
        <w:rPr>
          <w:b/>
        </w:rPr>
      </w:pPr>
    </w:p>
    <w:p w:rsidR="002A565E" w:rsidRDefault="002A565E" w:rsidP="009A2BA9">
      <w:pPr>
        <w:suppressLineNumbers/>
        <w:rPr>
          <w:b/>
        </w:rPr>
      </w:pPr>
      <w:r>
        <w:rPr>
          <w:b/>
        </w:rPr>
        <w:t>Bürgerliche Lebenswelten zwischen Auflehnung und Anpassung</w:t>
      </w:r>
    </w:p>
    <w:tbl>
      <w:tblPr>
        <w:tblStyle w:val="Tabellenraster"/>
        <w:tblW w:w="0" w:type="auto"/>
        <w:tblLook w:val="04A0" w:firstRow="1" w:lastRow="0" w:firstColumn="1" w:lastColumn="0" w:noHBand="0" w:noVBand="1"/>
      </w:tblPr>
      <w:tblGrid>
        <w:gridCol w:w="4530"/>
        <w:gridCol w:w="4530"/>
      </w:tblGrid>
      <w:tr w:rsidR="002A565E" w:rsidRPr="002A565E" w:rsidTr="002A565E">
        <w:tc>
          <w:tcPr>
            <w:tcW w:w="4530" w:type="dxa"/>
          </w:tcPr>
          <w:p w:rsidR="002A565E" w:rsidRPr="002A565E" w:rsidRDefault="002A565E" w:rsidP="009A2BA9">
            <w:pPr>
              <w:suppressLineNumbers/>
              <w:jc w:val="center"/>
              <w:rPr>
                <w:b/>
              </w:rPr>
            </w:pPr>
            <w:r w:rsidRPr="002A565E">
              <w:rPr>
                <w:b/>
              </w:rPr>
              <w:t>Auflehnung</w:t>
            </w:r>
          </w:p>
        </w:tc>
        <w:tc>
          <w:tcPr>
            <w:tcW w:w="4530" w:type="dxa"/>
          </w:tcPr>
          <w:p w:rsidR="002A565E" w:rsidRPr="002A565E" w:rsidRDefault="002A565E" w:rsidP="009A2BA9">
            <w:pPr>
              <w:suppressLineNumbers/>
              <w:jc w:val="center"/>
              <w:rPr>
                <w:b/>
              </w:rPr>
            </w:pPr>
            <w:r w:rsidRPr="002A565E">
              <w:rPr>
                <w:b/>
              </w:rPr>
              <w:t>Anpassung</w:t>
            </w:r>
          </w:p>
        </w:tc>
      </w:tr>
      <w:tr w:rsidR="002A565E" w:rsidTr="002A565E">
        <w:tc>
          <w:tcPr>
            <w:tcW w:w="4530" w:type="dxa"/>
          </w:tcPr>
          <w:p w:rsidR="002A565E" w:rsidRDefault="00B838DC" w:rsidP="009A2BA9">
            <w:pPr>
              <w:suppressLineNumbers/>
              <w:jc w:val="center"/>
            </w:pPr>
            <w:r>
              <w:t>Internationale Solidarität mit Polen</w:t>
            </w:r>
          </w:p>
        </w:tc>
        <w:tc>
          <w:tcPr>
            <w:tcW w:w="4530" w:type="dxa"/>
          </w:tcPr>
          <w:p w:rsidR="002A565E" w:rsidRDefault="00395F63" w:rsidP="009A2BA9">
            <w:pPr>
              <w:suppressLineNumbers/>
              <w:jc w:val="center"/>
            </w:pPr>
            <w:r>
              <w:t>Angst um Besitz</w:t>
            </w:r>
          </w:p>
        </w:tc>
      </w:tr>
      <w:tr w:rsidR="002A565E" w:rsidTr="002A565E">
        <w:tc>
          <w:tcPr>
            <w:tcW w:w="4530" w:type="dxa"/>
          </w:tcPr>
          <w:p w:rsidR="002A565E" w:rsidRDefault="00B838DC" w:rsidP="009A2BA9">
            <w:pPr>
              <w:suppressLineNumbers/>
              <w:jc w:val="center"/>
            </w:pPr>
            <w:r>
              <w:t xml:space="preserve">Polenvereine, </w:t>
            </w:r>
            <w:r w:rsidR="002A565E">
              <w:t>Polenlieder</w:t>
            </w:r>
          </w:p>
        </w:tc>
        <w:tc>
          <w:tcPr>
            <w:tcW w:w="4530" w:type="dxa"/>
          </w:tcPr>
          <w:p w:rsidR="002A565E" w:rsidRDefault="00395F63" w:rsidP="009A2BA9">
            <w:pPr>
              <w:suppressLineNumbers/>
              <w:jc w:val="center"/>
            </w:pPr>
            <w:r>
              <w:t>Rückzug nach innen: Lesen statt Handeln</w:t>
            </w:r>
          </w:p>
        </w:tc>
      </w:tr>
      <w:tr w:rsidR="002A565E" w:rsidTr="002A565E">
        <w:tc>
          <w:tcPr>
            <w:tcW w:w="4530" w:type="dxa"/>
          </w:tcPr>
          <w:p w:rsidR="002A565E" w:rsidRDefault="002A565E" w:rsidP="009A2BA9">
            <w:pPr>
              <w:suppressLineNumbers/>
              <w:jc w:val="center"/>
            </w:pPr>
            <w:r>
              <w:t>Widerstand gegen Zensur</w:t>
            </w:r>
          </w:p>
        </w:tc>
        <w:tc>
          <w:tcPr>
            <w:tcW w:w="4530" w:type="dxa"/>
          </w:tcPr>
          <w:p w:rsidR="002A565E" w:rsidRDefault="00395F63" w:rsidP="009A2BA9">
            <w:pPr>
              <w:suppressLineNumbers/>
              <w:jc w:val="center"/>
            </w:pPr>
            <w:r>
              <w:t>Zurückweichen vor der</w:t>
            </w:r>
            <w:r w:rsidR="002A565E">
              <w:t xml:space="preserve"> Zensur</w:t>
            </w:r>
          </w:p>
        </w:tc>
      </w:tr>
      <w:tr w:rsidR="002A565E" w:rsidRPr="002A565E" w:rsidTr="002A565E">
        <w:tc>
          <w:tcPr>
            <w:tcW w:w="4530" w:type="dxa"/>
          </w:tcPr>
          <w:p w:rsidR="002A565E" w:rsidRPr="002A565E" w:rsidRDefault="002A565E" w:rsidP="009A2BA9">
            <w:pPr>
              <w:suppressLineNumbers/>
              <w:jc w:val="center"/>
              <w:rPr>
                <w:b/>
              </w:rPr>
            </w:pPr>
            <w:r w:rsidRPr="002A565E">
              <w:rPr>
                <w:b/>
              </w:rPr>
              <w:t>Hoffnung</w:t>
            </w:r>
          </w:p>
        </w:tc>
        <w:tc>
          <w:tcPr>
            <w:tcW w:w="4530" w:type="dxa"/>
          </w:tcPr>
          <w:p w:rsidR="002A565E" w:rsidRPr="002A565E" w:rsidRDefault="002A565E" w:rsidP="009A2BA9">
            <w:pPr>
              <w:suppressLineNumbers/>
              <w:jc w:val="center"/>
              <w:rPr>
                <w:b/>
              </w:rPr>
            </w:pPr>
            <w:r>
              <w:rPr>
                <w:b/>
              </w:rPr>
              <w:t>Enttäuschung</w:t>
            </w:r>
          </w:p>
        </w:tc>
      </w:tr>
    </w:tbl>
    <w:p w:rsidR="002A565E" w:rsidRPr="002A565E" w:rsidRDefault="002A565E" w:rsidP="009A2BA9">
      <w:pPr>
        <w:suppressLineNumbers/>
      </w:pPr>
    </w:p>
    <w:sectPr w:rsidR="002A565E" w:rsidRPr="002A565E" w:rsidSect="000F6B37">
      <w:headerReference w:type="default" r:id="rId32"/>
      <w:pgSz w:w="11906" w:h="16838"/>
      <w:pgMar w:top="1418" w:right="1418" w:bottom="1134" w:left="1418" w:header="567" w:footer="567" w:gutter="0"/>
      <w:lnNumType w:countBy="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229" w:rsidRDefault="00492229" w:rsidP="001B0894">
      <w:pPr>
        <w:spacing w:after="0" w:line="240" w:lineRule="auto"/>
      </w:pPr>
      <w:r>
        <w:separator/>
      </w:r>
    </w:p>
  </w:endnote>
  <w:endnote w:type="continuationSeparator" w:id="0">
    <w:p w:rsidR="00492229" w:rsidRDefault="00492229" w:rsidP="001B0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229" w:rsidRDefault="00492229" w:rsidP="001B0894">
      <w:pPr>
        <w:spacing w:after="0" w:line="240" w:lineRule="auto"/>
      </w:pPr>
      <w:r>
        <w:separator/>
      </w:r>
    </w:p>
  </w:footnote>
  <w:footnote w:type="continuationSeparator" w:id="0">
    <w:p w:rsidR="00492229" w:rsidRDefault="00492229" w:rsidP="001B08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00B" w:rsidRDefault="006F500B" w:rsidP="006F500B">
    <w:pPr>
      <w:pStyle w:val="Kopfzeile"/>
      <w:jc w:val="center"/>
      <w:rPr>
        <w:rStyle w:val="SchwacherVerweis"/>
      </w:rPr>
    </w:pPr>
    <w:r w:rsidRPr="00D61ED4">
      <w:rPr>
        <w:rStyle w:val="SchwacherVerweis"/>
      </w:rPr>
      <w:fldChar w:fldCharType="begin"/>
    </w:r>
    <w:r w:rsidRPr="00D61ED4">
      <w:rPr>
        <w:rStyle w:val="SchwacherVerweis"/>
      </w:rPr>
      <w:instrText>PAGE   \* MERGEFORMAT</w:instrText>
    </w:r>
    <w:r w:rsidRPr="00D61ED4">
      <w:rPr>
        <w:rStyle w:val="SchwacherVerweis"/>
      </w:rPr>
      <w:fldChar w:fldCharType="separate"/>
    </w:r>
    <w:r w:rsidR="008B4453">
      <w:rPr>
        <w:rStyle w:val="SchwacherVerweis"/>
        <w:noProof/>
      </w:rPr>
      <w:t>1</w:t>
    </w:r>
    <w:r w:rsidRPr="00D61ED4">
      <w:rPr>
        <w:rStyle w:val="SchwacherVerweis"/>
      </w:rPr>
      <w:fldChar w:fldCharType="end"/>
    </w:r>
  </w:p>
  <w:p w:rsidR="006F500B" w:rsidRPr="00D61ED4" w:rsidRDefault="006F500B" w:rsidP="006F500B">
    <w:pPr>
      <w:pStyle w:val="Kopfzeile"/>
      <w:rPr>
        <w:rStyle w:val="SchwacherVerweis"/>
      </w:rPr>
    </w:pPr>
    <w:r w:rsidRPr="00D61ED4">
      <w:rPr>
        <w:rStyle w:val="SchwacherVerweis"/>
      </w:rPr>
      <w:t xml:space="preserve">Geschichte </w:t>
    </w:r>
    <w:r>
      <w:rPr>
        <w:rStyle w:val="SchwacherVerweis"/>
      </w:rPr>
      <w:t xml:space="preserve">– </w:t>
    </w:r>
    <w:r w:rsidRPr="00D61ED4">
      <w:rPr>
        <w:rStyle w:val="SchwacherVerweis"/>
      </w:rPr>
      <w:t>Allgemein bildendes Gymnasium: Multiplikatorenschulung, Bad Wildbad 11.-13.1.2016</w:t>
    </w:r>
    <w:r>
      <w:rPr>
        <w:rStyle w:val="SchwacherVerweis"/>
      </w:rPr>
      <w:t xml:space="preserve">   </w:t>
    </w:r>
  </w:p>
  <w:p w:rsidR="006F500B" w:rsidRPr="00D260B8" w:rsidRDefault="006F500B" w:rsidP="006F500B">
    <w:pPr>
      <w:pStyle w:val="Kopfzeile"/>
      <w:rPr>
        <w:rStyle w:val="SchwacherVerweis"/>
      </w:rPr>
    </w:pPr>
    <w:r w:rsidRPr="00D260B8">
      <w:rPr>
        <w:rStyle w:val="SchwacherVerweis"/>
      </w:rPr>
      <w:t>Lernen gestalten und begleiten: Bildungsplan 2016, Standardstufe 8 (ZPG)</w:t>
    </w:r>
  </w:p>
  <w:p w:rsidR="006F500B" w:rsidRDefault="006F500B" w:rsidP="006F500B">
    <w:pPr>
      <w:pStyle w:val="Kopfzeile"/>
    </w:pPr>
  </w:p>
  <w:p w:rsidR="00875AEF" w:rsidRDefault="00875AE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CBD"/>
    <w:multiLevelType w:val="multilevel"/>
    <w:tmpl w:val="FDB477AA"/>
    <w:lvl w:ilvl="0">
      <w:start w:val="1"/>
      <w:numFmt w:val="decimal"/>
      <w:pStyle w:val="BPIKTeilkompetenzBeschreibung"/>
      <w:lvlText w:val="(%1)"/>
      <w:lvlJc w:val="left"/>
      <w:pPr>
        <w:tabs>
          <w:tab w:val="num" w:pos="0"/>
        </w:tabs>
        <w:ind w:left="0" w:firstLine="0"/>
      </w:pPr>
      <w:rPr>
        <w:rFonts w:hint="default"/>
        <w:strike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2738"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1" w15:restartNumberingAfterBreak="0">
    <w:nsid w:val="08456DFB"/>
    <w:multiLevelType w:val="hybridMultilevel"/>
    <w:tmpl w:val="F448111C"/>
    <w:lvl w:ilvl="0" w:tplc="BB8EC74A">
      <w:numFmt w:val="bullet"/>
      <w:lvlText w:val=""/>
      <w:lvlJc w:val="left"/>
      <w:pPr>
        <w:ind w:left="360" w:hanging="360"/>
      </w:pPr>
      <w:rPr>
        <w:rFonts w:ascii="Wingdings" w:eastAsiaTheme="minorHAnsi" w:hAnsi="Wingdings"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EC49B7"/>
    <w:multiLevelType w:val="multilevel"/>
    <w:tmpl w:val="59AA3B80"/>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99154E"/>
    <w:multiLevelType w:val="multilevel"/>
    <w:tmpl w:val="4DFE77C8"/>
    <w:lvl w:ilvl="0">
      <w:start w:val="1"/>
      <w:numFmt w:val="decimal"/>
      <w:pStyle w:val="BPberschrift1"/>
      <w:lvlText w:val="%1."/>
      <w:lvlJc w:val="left"/>
      <w:pPr>
        <w:ind w:left="574" w:hanging="432"/>
      </w:pPr>
      <w:rPr>
        <w:rFonts w:hint="default"/>
      </w:rPr>
    </w:lvl>
    <w:lvl w:ilvl="1">
      <w:start w:val="1"/>
      <w:numFmt w:val="decimal"/>
      <w:pStyle w:val="BPberschrift2"/>
      <w:lvlText w:val="%1.%2"/>
      <w:lvlJc w:val="left"/>
      <w:pPr>
        <w:ind w:left="3128" w:hanging="576"/>
      </w:pPr>
      <w:rPr>
        <w:rFonts w:hint="default"/>
      </w:rPr>
    </w:lvl>
    <w:lvl w:ilvl="2">
      <w:start w:val="1"/>
      <w:numFmt w:val="decimal"/>
      <w:pStyle w:val="BPberschrift3"/>
      <w:lvlText w:val="%1.%2.%3"/>
      <w:lvlJc w:val="left"/>
      <w:pPr>
        <w:ind w:left="720" w:hanging="720"/>
      </w:pPr>
      <w:rPr>
        <w:rFonts w:hint="default"/>
      </w:rPr>
    </w:lvl>
    <w:lvl w:ilvl="3">
      <w:start w:val="1"/>
      <w:numFmt w:val="decimal"/>
      <w:pStyle w:val="BPbersch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66F4378"/>
    <w:multiLevelType w:val="hybridMultilevel"/>
    <w:tmpl w:val="22FEB432"/>
    <w:lvl w:ilvl="0" w:tplc="9530D9DA">
      <w:start w:val="1"/>
      <w:numFmt w:val="decimal"/>
      <w:lvlText w:val="%1)"/>
      <w:lvlJc w:val="left"/>
      <w:pPr>
        <w:ind w:left="720" w:hanging="360"/>
      </w:pPr>
      <w:rPr>
        <w:rFonts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7CA4C62"/>
    <w:multiLevelType w:val="multilevel"/>
    <w:tmpl w:val="1750BC84"/>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7FD4B9A"/>
    <w:multiLevelType w:val="hybridMultilevel"/>
    <w:tmpl w:val="9154D5F6"/>
    <w:lvl w:ilvl="0" w:tplc="1BCCCB2C">
      <w:start w:val="1"/>
      <w:numFmt w:val="decimal"/>
      <w:pStyle w:val="BPPKTeilkompetenzListe"/>
      <w:lvlText w:val="%1."/>
      <w:lvlJc w:val="left"/>
      <w:pPr>
        <w:ind w:left="360" w:hanging="360"/>
      </w:pPr>
      <w:rPr>
        <w:rFonts w:hint="default"/>
      </w:rPr>
    </w:lvl>
    <w:lvl w:ilvl="1" w:tplc="D49622C0">
      <w:start w:val="1"/>
      <w:numFmt w:val="decimal"/>
      <w:lvlText w:val="(%2)"/>
      <w:lvlJc w:val="left"/>
      <w:pPr>
        <w:ind w:left="1125" w:hanging="405"/>
      </w:pPr>
      <w:rPr>
        <w:rFonts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7" w15:restartNumberingAfterBreak="0">
    <w:nsid w:val="3C901D29"/>
    <w:multiLevelType w:val="hybridMultilevel"/>
    <w:tmpl w:val="AA0E4A4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EF52AF"/>
    <w:multiLevelType w:val="hybridMultilevel"/>
    <w:tmpl w:val="F8B4A63E"/>
    <w:lvl w:ilvl="0" w:tplc="04070015">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61CD44BA"/>
    <w:multiLevelType w:val="hybridMultilevel"/>
    <w:tmpl w:val="98FC79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2120F56"/>
    <w:multiLevelType w:val="multilevel"/>
    <w:tmpl w:val="218E9CBE"/>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E847A2A"/>
    <w:multiLevelType w:val="hybridMultilevel"/>
    <w:tmpl w:val="EBA01B34"/>
    <w:lvl w:ilvl="0" w:tplc="DD689B3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B1167B"/>
    <w:multiLevelType w:val="hybridMultilevel"/>
    <w:tmpl w:val="E0524634"/>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7BF81CBF"/>
    <w:multiLevelType w:val="hybridMultilevel"/>
    <w:tmpl w:val="E2487B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6"/>
    <w:lvlOverride w:ilvl="0">
      <w:startOverride w:val="1"/>
    </w:lvlOverride>
  </w:num>
  <w:num w:numId="4">
    <w:abstractNumId w:val="0"/>
  </w:num>
  <w:num w:numId="5">
    <w:abstractNumId w:val="0"/>
  </w:num>
  <w:num w:numId="6">
    <w:abstractNumId w:val="0"/>
    <w:lvlOverride w:ilvl="0">
      <w:startOverride w:val="1"/>
    </w:lvlOverride>
  </w:num>
  <w:num w:numId="7">
    <w:abstractNumId w:val="3"/>
  </w:num>
  <w:num w:numId="8">
    <w:abstractNumId w:val="5"/>
  </w:num>
  <w:num w:numId="9">
    <w:abstractNumId w:val="10"/>
  </w:num>
  <w:num w:numId="10">
    <w:abstractNumId w:val="2"/>
  </w:num>
  <w:num w:numId="11">
    <w:abstractNumId w:val="4"/>
  </w:num>
  <w:num w:numId="12">
    <w:abstractNumId w:val="12"/>
  </w:num>
  <w:num w:numId="13">
    <w:abstractNumId w:val="8"/>
  </w:num>
  <w:num w:numId="14">
    <w:abstractNumId w:val="11"/>
  </w:num>
  <w:num w:numId="15">
    <w:abstractNumId w:val="9"/>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D65"/>
    <w:rsid w:val="000131C1"/>
    <w:rsid w:val="00013FB2"/>
    <w:rsid w:val="00021AD3"/>
    <w:rsid w:val="00063758"/>
    <w:rsid w:val="00073130"/>
    <w:rsid w:val="00074FB4"/>
    <w:rsid w:val="0008100E"/>
    <w:rsid w:val="000A4ABD"/>
    <w:rsid w:val="000B0CDC"/>
    <w:rsid w:val="000D1B87"/>
    <w:rsid w:val="000D5CA2"/>
    <w:rsid w:val="000D78AA"/>
    <w:rsid w:val="000E67D8"/>
    <w:rsid w:val="000F0C29"/>
    <w:rsid w:val="000F299D"/>
    <w:rsid w:val="000F5AC9"/>
    <w:rsid w:val="000F6B37"/>
    <w:rsid w:val="00106AB4"/>
    <w:rsid w:val="00113E15"/>
    <w:rsid w:val="001512FA"/>
    <w:rsid w:val="001569B5"/>
    <w:rsid w:val="00157A3F"/>
    <w:rsid w:val="00161098"/>
    <w:rsid w:val="001844EF"/>
    <w:rsid w:val="001944BD"/>
    <w:rsid w:val="001B0894"/>
    <w:rsid w:val="001C1430"/>
    <w:rsid w:val="001C3487"/>
    <w:rsid w:val="001E4E3C"/>
    <w:rsid w:val="001F7BAE"/>
    <w:rsid w:val="00206901"/>
    <w:rsid w:val="00211455"/>
    <w:rsid w:val="00213E96"/>
    <w:rsid w:val="0021482B"/>
    <w:rsid w:val="00250845"/>
    <w:rsid w:val="0025570D"/>
    <w:rsid w:val="00257810"/>
    <w:rsid w:val="00267217"/>
    <w:rsid w:val="0027401E"/>
    <w:rsid w:val="002A565E"/>
    <w:rsid w:val="002B59F2"/>
    <w:rsid w:val="002C598F"/>
    <w:rsid w:val="003013B9"/>
    <w:rsid w:val="003023E2"/>
    <w:rsid w:val="00305E49"/>
    <w:rsid w:val="0031589B"/>
    <w:rsid w:val="00335FAC"/>
    <w:rsid w:val="00340CA6"/>
    <w:rsid w:val="0034274F"/>
    <w:rsid w:val="003541C4"/>
    <w:rsid w:val="00356B95"/>
    <w:rsid w:val="00357514"/>
    <w:rsid w:val="00371BC8"/>
    <w:rsid w:val="00395F63"/>
    <w:rsid w:val="003A0EEA"/>
    <w:rsid w:val="003A14AB"/>
    <w:rsid w:val="003E52A1"/>
    <w:rsid w:val="003F289F"/>
    <w:rsid w:val="003F4F17"/>
    <w:rsid w:val="004075D8"/>
    <w:rsid w:val="00417516"/>
    <w:rsid w:val="004411D3"/>
    <w:rsid w:val="004532A0"/>
    <w:rsid w:val="00461793"/>
    <w:rsid w:val="00470A0E"/>
    <w:rsid w:val="004902F0"/>
    <w:rsid w:val="00492229"/>
    <w:rsid w:val="004B162B"/>
    <w:rsid w:val="004C1820"/>
    <w:rsid w:val="004D5D23"/>
    <w:rsid w:val="004E31AB"/>
    <w:rsid w:val="004E3DD7"/>
    <w:rsid w:val="004E6C01"/>
    <w:rsid w:val="004F4AEE"/>
    <w:rsid w:val="004F76C6"/>
    <w:rsid w:val="00504110"/>
    <w:rsid w:val="005134BC"/>
    <w:rsid w:val="0051690E"/>
    <w:rsid w:val="00544B07"/>
    <w:rsid w:val="00547134"/>
    <w:rsid w:val="00576271"/>
    <w:rsid w:val="005818A6"/>
    <w:rsid w:val="00584B4F"/>
    <w:rsid w:val="00590F65"/>
    <w:rsid w:val="005B4D79"/>
    <w:rsid w:val="005C164D"/>
    <w:rsid w:val="005E1D85"/>
    <w:rsid w:val="005E23E2"/>
    <w:rsid w:val="005F42B8"/>
    <w:rsid w:val="006057CE"/>
    <w:rsid w:val="00607E7D"/>
    <w:rsid w:val="00613722"/>
    <w:rsid w:val="006143E3"/>
    <w:rsid w:val="00616F86"/>
    <w:rsid w:val="0062371A"/>
    <w:rsid w:val="00625D80"/>
    <w:rsid w:val="00634A5B"/>
    <w:rsid w:val="006549F6"/>
    <w:rsid w:val="0068431E"/>
    <w:rsid w:val="006A358E"/>
    <w:rsid w:val="006A4ED9"/>
    <w:rsid w:val="006C1459"/>
    <w:rsid w:val="006C233C"/>
    <w:rsid w:val="006F500B"/>
    <w:rsid w:val="00700678"/>
    <w:rsid w:val="00700D8E"/>
    <w:rsid w:val="007114C9"/>
    <w:rsid w:val="00713A73"/>
    <w:rsid w:val="00726D65"/>
    <w:rsid w:val="0077050F"/>
    <w:rsid w:val="007802ED"/>
    <w:rsid w:val="00796248"/>
    <w:rsid w:val="007A5AC6"/>
    <w:rsid w:val="007B226C"/>
    <w:rsid w:val="007C2BCA"/>
    <w:rsid w:val="007D6AF0"/>
    <w:rsid w:val="007E66B5"/>
    <w:rsid w:val="007F3616"/>
    <w:rsid w:val="00804041"/>
    <w:rsid w:val="00813320"/>
    <w:rsid w:val="008349BE"/>
    <w:rsid w:val="008434E3"/>
    <w:rsid w:val="008730A3"/>
    <w:rsid w:val="0087526E"/>
    <w:rsid w:val="00875AEF"/>
    <w:rsid w:val="008908E6"/>
    <w:rsid w:val="008911CC"/>
    <w:rsid w:val="008A34A6"/>
    <w:rsid w:val="008A3F6E"/>
    <w:rsid w:val="008B4453"/>
    <w:rsid w:val="008C2BD1"/>
    <w:rsid w:val="008D2CD6"/>
    <w:rsid w:val="008D6C2A"/>
    <w:rsid w:val="008E32FA"/>
    <w:rsid w:val="008F13C9"/>
    <w:rsid w:val="008F1F53"/>
    <w:rsid w:val="008F4AB5"/>
    <w:rsid w:val="009154CE"/>
    <w:rsid w:val="00917535"/>
    <w:rsid w:val="009320D3"/>
    <w:rsid w:val="0093346B"/>
    <w:rsid w:val="009427F5"/>
    <w:rsid w:val="00986191"/>
    <w:rsid w:val="00995C42"/>
    <w:rsid w:val="009A2BA9"/>
    <w:rsid w:val="009A531C"/>
    <w:rsid w:val="009A5E06"/>
    <w:rsid w:val="009C376E"/>
    <w:rsid w:val="009C5B5E"/>
    <w:rsid w:val="009D1F55"/>
    <w:rsid w:val="009D79B5"/>
    <w:rsid w:val="009E492A"/>
    <w:rsid w:val="009F46B4"/>
    <w:rsid w:val="009F5722"/>
    <w:rsid w:val="009F62F1"/>
    <w:rsid w:val="009F73D6"/>
    <w:rsid w:val="00A24583"/>
    <w:rsid w:val="00A249D7"/>
    <w:rsid w:val="00A42D65"/>
    <w:rsid w:val="00A627DC"/>
    <w:rsid w:val="00A63BBB"/>
    <w:rsid w:val="00A82EA0"/>
    <w:rsid w:val="00A92D3C"/>
    <w:rsid w:val="00AA25CB"/>
    <w:rsid w:val="00AA355F"/>
    <w:rsid w:val="00AB0647"/>
    <w:rsid w:val="00AD035A"/>
    <w:rsid w:val="00AD5838"/>
    <w:rsid w:val="00B16096"/>
    <w:rsid w:val="00B26D67"/>
    <w:rsid w:val="00B30758"/>
    <w:rsid w:val="00B369A6"/>
    <w:rsid w:val="00B5447E"/>
    <w:rsid w:val="00B549BE"/>
    <w:rsid w:val="00B72D2F"/>
    <w:rsid w:val="00B81B9E"/>
    <w:rsid w:val="00B838DC"/>
    <w:rsid w:val="00B86693"/>
    <w:rsid w:val="00B974A4"/>
    <w:rsid w:val="00BA6D3E"/>
    <w:rsid w:val="00BB3DF7"/>
    <w:rsid w:val="00BE5189"/>
    <w:rsid w:val="00BE78EB"/>
    <w:rsid w:val="00C00469"/>
    <w:rsid w:val="00C019D1"/>
    <w:rsid w:val="00C22CA8"/>
    <w:rsid w:val="00C263CD"/>
    <w:rsid w:val="00C30089"/>
    <w:rsid w:val="00C33D07"/>
    <w:rsid w:val="00C50C95"/>
    <w:rsid w:val="00C54143"/>
    <w:rsid w:val="00C901E7"/>
    <w:rsid w:val="00CC1A08"/>
    <w:rsid w:val="00CC5CD1"/>
    <w:rsid w:val="00CE17CC"/>
    <w:rsid w:val="00CF643F"/>
    <w:rsid w:val="00D02017"/>
    <w:rsid w:val="00D16357"/>
    <w:rsid w:val="00D221B1"/>
    <w:rsid w:val="00D260B8"/>
    <w:rsid w:val="00D27234"/>
    <w:rsid w:val="00D365EA"/>
    <w:rsid w:val="00D36E6B"/>
    <w:rsid w:val="00D553AD"/>
    <w:rsid w:val="00D60A70"/>
    <w:rsid w:val="00D61ED4"/>
    <w:rsid w:val="00D768B4"/>
    <w:rsid w:val="00D87A1D"/>
    <w:rsid w:val="00DB079A"/>
    <w:rsid w:val="00DD126E"/>
    <w:rsid w:val="00E233F4"/>
    <w:rsid w:val="00E252FE"/>
    <w:rsid w:val="00E32A95"/>
    <w:rsid w:val="00E436A8"/>
    <w:rsid w:val="00E6148C"/>
    <w:rsid w:val="00E70DEB"/>
    <w:rsid w:val="00E80912"/>
    <w:rsid w:val="00E9563B"/>
    <w:rsid w:val="00EA578D"/>
    <w:rsid w:val="00EC1421"/>
    <w:rsid w:val="00EC2676"/>
    <w:rsid w:val="00EC313E"/>
    <w:rsid w:val="00EC390F"/>
    <w:rsid w:val="00EF06FA"/>
    <w:rsid w:val="00F027C4"/>
    <w:rsid w:val="00F0618A"/>
    <w:rsid w:val="00F1004E"/>
    <w:rsid w:val="00F12FCF"/>
    <w:rsid w:val="00F14DFA"/>
    <w:rsid w:val="00F21E76"/>
    <w:rsid w:val="00F363FD"/>
    <w:rsid w:val="00F45E2F"/>
    <w:rsid w:val="00F55A44"/>
    <w:rsid w:val="00F568FF"/>
    <w:rsid w:val="00F5749E"/>
    <w:rsid w:val="00F6633C"/>
    <w:rsid w:val="00F80946"/>
    <w:rsid w:val="00F90BB0"/>
    <w:rsid w:val="00F93C50"/>
    <w:rsid w:val="00FA2133"/>
    <w:rsid w:val="00FC21C8"/>
    <w:rsid w:val="00FD00ED"/>
    <w:rsid w:val="00FD018B"/>
    <w:rsid w:val="00FD0BD4"/>
    <w:rsid w:val="00FE18A8"/>
    <w:rsid w:val="00FF59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5E8875-9A73-4BE6-9AC7-1E5845D87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26D65"/>
    <w:pPr>
      <w:spacing w:after="167"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726D65"/>
    <w:pPr>
      <w:ind w:left="720"/>
      <w:contextualSpacing/>
    </w:pPr>
  </w:style>
  <w:style w:type="character" w:styleId="Hyperlink">
    <w:name w:val="Hyperlink"/>
    <w:basedOn w:val="Absatz-Standardschriftart"/>
    <w:uiPriority w:val="99"/>
    <w:unhideWhenUsed/>
    <w:rsid w:val="00B549BE"/>
    <w:rPr>
      <w:color w:val="0000FF" w:themeColor="hyperlink"/>
      <w:u w:val="single"/>
    </w:rPr>
  </w:style>
  <w:style w:type="table" w:styleId="Tabellenraster">
    <w:name w:val="Table Grid"/>
    <w:basedOn w:val="NormaleTabelle"/>
    <w:uiPriority w:val="59"/>
    <w:rsid w:val="00B30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PKTeilkompetenzListe">
    <w:name w:val="BP_PK_Teilkompetenz_Liste"/>
    <w:basedOn w:val="Standard"/>
    <w:qFormat/>
    <w:rsid w:val="00F363FD"/>
    <w:pPr>
      <w:numPr>
        <w:numId w:val="2"/>
      </w:numPr>
      <w:spacing w:before="60" w:after="60" w:line="360" w:lineRule="auto"/>
    </w:pPr>
    <w:rPr>
      <w:rFonts w:ascii="Arial" w:eastAsia="Calibri" w:hAnsi="Arial" w:cs="Arial"/>
      <w:sz w:val="20"/>
      <w:szCs w:val="20"/>
    </w:rPr>
  </w:style>
  <w:style w:type="paragraph" w:styleId="Sprechblasentext">
    <w:name w:val="Balloon Text"/>
    <w:basedOn w:val="Standard"/>
    <w:link w:val="SprechblasentextZchn"/>
    <w:uiPriority w:val="99"/>
    <w:semiHidden/>
    <w:unhideWhenUsed/>
    <w:rsid w:val="00213E9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13E96"/>
    <w:rPr>
      <w:rFonts w:ascii="Tahoma" w:hAnsi="Tahoma" w:cs="Tahoma"/>
      <w:sz w:val="16"/>
      <w:szCs w:val="16"/>
    </w:rPr>
  </w:style>
  <w:style w:type="paragraph" w:customStyle="1" w:styleId="BPIKTeilkompetenzBeschreibung">
    <w:name w:val="BP_IK_Teilkompetenz_Beschreibung"/>
    <w:basedOn w:val="Standard"/>
    <w:qFormat/>
    <w:rsid w:val="00AB0647"/>
    <w:pPr>
      <w:numPr>
        <w:numId w:val="4"/>
      </w:numPr>
      <w:tabs>
        <w:tab w:val="left" w:pos="408"/>
      </w:tabs>
      <w:spacing w:after="0"/>
      <w:jc w:val="both"/>
    </w:pPr>
    <w:rPr>
      <w:rFonts w:ascii="Arial" w:eastAsia="Times New Roman" w:hAnsi="Arial" w:cs="Times New Roman"/>
      <w:sz w:val="20"/>
      <w:szCs w:val="20"/>
    </w:rPr>
  </w:style>
  <w:style w:type="paragraph" w:customStyle="1" w:styleId="BPberschrift1">
    <w:name w:val="BP_Überschrift1"/>
    <w:basedOn w:val="Standard"/>
    <w:next w:val="Standard"/>
    <w:qFormat/>
    <w:rsid w:val="00371BC8"/>
    <w:pPr>
      <w:keepNext/>
      <w:keepLines/>
      <w:numPr>
        <w:numId w:val="7"/>
      </w:numPr>
      <w:spacing w:before="240" w:after="180" w:line="240" w:lineRule="auto"/>
      <w:ind w:left="431" w:hanging="431"/>
      <w:outlineLvl w:val="0"/>
    </w:pPr>
    <w:rPr>
      <w:rFonts w:ascii="Arial" w:eastAsia="Calibri" w:hAnsi="Arial" w:cs="Arial"/>
      <w:b/>
      <w:bCs/>
      <w:sz w:val="28"/>
      <w:szCs w:val="20"/>
    </w:rPr>
  </w:style>
  <w:style w:type="paragraph" w:customStyle="1" w:styleId="BPberschrift2">
    <w:name w:val="BP_Überschrift2"/>
    <w:basedOn w:val="Standard"/>
    <w:next w:val="Standard"/>
    <w:uiPriority w:val="1"/>
    <w:qFormat/>
    <w:rsid w:val="00371BC8"/>
    <w:pPr>
      <w:keepNext/>
      <w:keepLines/>
      <w:numPr>
        <w:ilvl w:val="1"/>
        <w:numId w:val="7"/>
      </w:numPr>
      <w:spacing w:before="240" w:after="180" w:line="360" w:lineRule="auto"/>
      <w:ind w:left="578" w:hanging="578"/>
      <w:outlineLvl w:val="1"/>
    </w:pPr>
    <w:rPr>
      <w:rFonts w:ascii="Arial" w:eastAsia="Calibri" w:hAnsi="Arial" w:cs="Arial"/>
      <w:b/>
      <w:sz w:val="24"/>
      <w:szCs w:val="20"/>
    </w:rPr>
  </w:style>
  <w:style w:type="paragraph" w:customStyle="1" w:styleId="BPberschrift3">
    <w:name w:val="BP_Überschrift3"/>
    <w:basedOn w:val="Standard"/>
    <w:next w:val="Standard"/>
    <w:uiPriority w:val="1"/>
    <w:qFormat/>
    <w:rsid w:val="00371BC8"/>
    <w:pPr>
      <w:keepNext/>
      <w:keepLines/>
      <w:numPr>
        <w:ilvl w:val="2"/>
        <w:numId w:val="7"/>
      </w:numPr>
      <w:suppressAutoHyphens/>
      <w:spacing w:before="240" w:after="60"/>
      <w:outlineLvl w:val="2"/>
    </w:pPr>
    <w:rPr>
      <w:rFonts w:ascii="Arial" w:eastAsia="MS Mincho" w:hAnsi="Arial" w:cs="Arial"/>
      <w:b/>
      <w:bCs/>
      <w:sz w:val="24"/>
      <w:szCs w:val="20"/>
    </w:rPr>
  </w:style>
  <w:style w:type="paragraph" w:customStyle="1" w:styleId="BPberschrift4">
    <w:name w:val="BP_Überschrift4"/>
    <w:basedOn w:val="BPberschrift3"/>
    <w:uiPriority w:val="1"/>
    <w:qFormat/>
    <w:rsid w:val="00371BC8"/>
    <w:pPr>
      <w:numPr>
        <w:ilvl w:val="3"/>
      </w:numPr>
      <w:ind w:left="862" w:hanging="862"/>
    </w:pPr>
    <w:rPr>
      <w:sz w:val="22"/>
    </w:rPr>
  </w:style>
  <w:style w:type="character" w:customStyle="1" w:styleId="BPIKTeilkompetenzkursiv">
    <w:name w:val="BP_IK_Teilkompetenz_kursiv"/>
    <w:qFormat/>
    <w:rsid w:val="00625D80"/>
    <w:rPr>
      <w:rFonts w:ascii="Arial" w:hAnsi="Arial"/>
      <w:i/>
      <w:sz w:val="20"/>
    </w:rPr>
  </w:style>
  <w:style w:type="character" w:customStyle="1" w:styleId="Absatz-Standardschriftart1">
    <w:name w:val="Absatz-Standardschriftart1"/>
    <w:rsid w:val="009F46B4"/>
  </w:style>
  <w:style w:type="paragraph" w:styleId="Kopfzeile">
    <w:name w:val="header"/>
    <w:basedOn w:val="Standard"/>
    <w:link w:val="KopfzeileZchn"/>
    <w:uiPriority w:val="99"/>
    <w:unhideWhenUsed/>
    <w:rsid w:val="001B08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0894"/>
  </w:style>
  <w:style w:type="paragraph" w:styleId="Fuzeile">
    <w:name w:val="footer"/>
    <w:basedOn w:val="Standard"/>
    <w:link w:val="FuzeileZchn"/>
    <w:uiPriority w:val="99"/>
    <w:unhideWhenUsed/>
    <w:rsid w:val="001B08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0894"/>
  </w:style>
  <w:style w:type="character" w:styleId="IntensiveHervorhebung">
    <w:name w:val="Intense Emphasis"/>
    <w:basedOn w:val="Absatz-Standardschriftart"/>
    <w:uiPriority w:val="21"/>
    <w:qFormat/>
    <w:rsid w:val="00D61ED4"/>
    <w:rPr>
      <w:i/>
      <w:iCs/>
      <w:color w:val="4F81BD" w:themeColor="accent1"/>
    </w:rPr>
  </w:style>
  <w:style w:type="character" w:styleId="SchwacherVerweis">
    <w:name w:val="Subtle Reference"/>
    <w:basedOn w:val="Absatz-Standardschriftart"/>
    <w:uiPriority w:val="31"/>
    <w:qFormat/>
    <w:rsid w:val="00D61ED4"/>
    <w:rPr>
      <w:smallCaps/>
      <w:color w:val="5A5A5A" w:themeColor="text1" w:themeTint="A5"/>
    </w:rPr>
  </w:style>
  <w:style w:type="character" w:styleId="Zeilennummer">
    <w:name w:val="line number"/>
    <w:basedOn w:val="Absatz-Standardschriftart"/>
    <w:uiPriority w:val="99"/>
    <w:semiHidden/>
    <w:unhideWhenUsed/>
    <w:rsid w:val="00D260B8"/>
  </w:style>
  <w:style w:type="paragraph" w:styleId="Funotentext">
    <w:name w:val="footnote text"/>
    <w:basedOn w:val="Standard"/>
    <w:link w:val="FunotentextZchn"/>
    <w:unhideWhenUsed/>
    <w:rsid w:val="007C2BCA"/>
    <w:pPr>
      <w:spacing w:after="0" w:line="240" w:lineRule="auto"/>
    </w:pPr>
    <w:rPr>
      <w:sz w:val="20"/>
      <w:szCs w:val="20"/>
    </w:rPr>
  </w:style>
  <w:style w:type="character" w:customStyle="1" w:styleId="FunotentextZchn">
    <w:name w:val="Fußnotentext Zchn"/>
    <w:basedOn w:val="Absatz-Standardschriftart"/>
    <w:link w:val="Funotentext"/>
    <w:rsid w:val="007C2BCA"/>
    <w:rPr>
      <w:sz w:val="20"/>
      <w:szCs w:val="20"/>
    </w:rPr>
  </w:style>
  <w:style w:type="character" w:styleId="Funotenzeichen">
    <w:name w:val="footnote reference"/>
    <w:basedOn w:val="Absatz-Standardschriftart"/>
    <w:unhideWhenUsed/>
    <w:rsid w:val="007C2BCA"/>
    <w:rPr>
      <w:vertAlign w:val="superscript"/>
    </w:rPr>
  </w:style>
  <w:style w:type="character" w:styleId="BesuchterHyperlink">
    <w:name w:val="FollowedHyperlink"/>
    <w:basedOn w:val="Absatz-Standardschriftart"/>
    <w:uiPriority w:val="99"/>
    <w:semiHidden/>
    <w:unhideWhenUsed/>
    <w:rsid w:val="00E32A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882312">
      <w:bodyDiv w:val="1"/>
      <w:marLeft w:val="0"/>
      <w:marRight w:val="0"/>
      <w:marTop w:val="0"/>
      <w:marBottom w:val="0"/>
      <w:divBdr>
        <w:top w:val="none" w:sz="0" w:space="0" w:color="auto"/>
        <w:left w:val="none" w:sz="0" w:space="0" w:color="auto"/>
        <w:bottom w:val="none" w:sz="0" w:space="0" w:color="auto"/>
        <w:right w:val="none" w:sz="0" w:space="0" w:color="auto"/>
      </w:divBdr>
      <w:divsChild>
        <w:div w:id="987903809">
          <w:marLeft w:val="0"/>
          <w:marRight w:val="0"/>
          <w:marTop w:val="0"/>
          <w:marBottom w:val="0"/>
          <w:divBdr>
            <w:top w:val="none" w:sz="0" w:space="0" w:color="auto"/>
            <w:left w:val="none" w:sz="0" w:space="0" w:color="auto"/>
            <w:bottom w:val="none" w:sz="0" w:space="0" w:color="auto"/>
            <w:right w:val="none" w:sz="0" w:space="0" w:color="auto"/>
          </w:divBdr>
          <w:divsChild>
            <w:div w:id="950434519">
              <w:marLeft w:val="0"/>
              <w:marRight w:val="0"/>
              <w:marTop w:val="0"/>
              <w:marBottom w:val="0"/>
              <w:divBdr>
                <w:top w:val="none" w:sz="0" w:space="0" w:color="auto"/>
                <w:left w:val="none" w:sz="0" w:space="0" w:color="auto"/>
                <w:bottom w:val="none" w:sz="0" w:space="0" w:color="auto"/>
                <w:right w:val="none" w:sz="0" w:space="0" w:color="auto"/>
              </w:divBdr>
              <w:divsChild>
                <w:div w:id="166088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e.wikipedia.org/wiki/Novemberaufstand" TargetMode="External"/><Relationship Id="rId18" Type="http://schemas.openxmlformats.org/officeDocument/2006/relationships/hyperlink" Target="https://de.wikipedia.org/wiki/Emigration" TargetMode="External"/><Relationship Id="rId26" Type="http://schemas.openxmlformats.org/officeDocument/2006/relationships/hyperlink" Target="https://de.wikipedia.org/wiki/Polenschw%C3%A4rmerei" TargetMode="Externa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e.wikipedia.org/wiki/Wiener_Kongress" TargetMode="External"/><Relationship Id="rId17" Type="http://schemas.openxmlformats.org/officeDocument/2006/relationships/hyperlink" Target="https://de.wikipedia.org/wiki/Polenvereine" TargetMode="External"/><Relationship Id="rId25" Type="http://schemas.openxmlformats.org/officeDocument/2006/relationships/hyperlink" Target="https://commons.wikimedia.org/w/index.php?curid=893716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e.wikipedia.org/wiki/Novemberaufstand" TargetMode="External"/><Relationship Id="rId20" Type="http://schemas.openxmlformats.org/officeDocument/2006/relationships/hyperlink" Target="https://de.wikipedia.org/wiki/Polenschw%C3%A4rmerei"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wikipedia.org/wiki/Polen" TargetMode="External"/><Relationship Id="rId24" Type="http://schemas.openxmlformats.org/officeDocument/2006/relationships/image" Target="media/image4.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e.wikipedia.org/wiki/Polen_(Ethnie)" TargetMode="External"/><Relationship Id="rId23" Type="http://schemas.openxmlformats.org/officeDocument/2006/relationships/hyperlink" Target="https://commons.wikimedia.org/w/index.php?curid=10234708" TargetMode="External"/><Relationship Id="rId28" Type="http://schemas.openxmlformats.org/officeDocument/2006/relationships/hyperlink" Target="http://nbn-resolving.de/urn:nbn:de:0159-20100921148" TargetMode="External"/><Relationship Id="rId10" Type="http://schemas.openxmlformats.org/officeDocument/2006/relationships/hyperlink" Target="https://de.wikipedia.org/wiki/Aufstand" TargetMode="External"/><Relationship Id="rId19" Type="http://schemas.openxmlformats.org/officeDocument/2006/relationships/hyperlink" Target="https://de.wikipedia.org/wiki/Restauration_(Geschichte)" TargetMode="External"/><Relationship Id="rId31" Type="http://schemas.openxmlformats.org/officeDocument/2006/relationships/hyperlink" Target="https://commons.wikimedia.org/w/index.php?curid=7811937" TargetMode="External"/><Relationship Id="rId4" Type="http://schemas.openxmlformats.org/officeDocument/2006/relationships/settings" Target="settings.xml"/><Relationship Id="rId9" Type="http://schemas.openxmlformats.org/officeDocument/2006/relationships/hyperlink" Target="https://commons.wikimedia.org/w/index.php?curid=26383539" TargetMode="External"/><Relationship Id="rId14" Type="http://schemas.openxmlformats.org/officeDocument/2006/relationships/hyperlink" Target="https://de.wikipedia.org/wiki/Liberalismus" TargetMode="External"/><Relationship Id="rId22" Type="http://schemas.openxmlformats.org/officeDocument/2006/relationships/image" Target="media/image3.jpeg"/><Relationship Id="rId27" Type="http://schemas.openxmlformats.org/officeDocument/2006/relationships/hyperlink" Target="http://www.ieg-ego.eu/brudzynskanemecg-2010-de" TargetMode="External"/><Relationship Id="rId30" Type="http://schemas.openxmlformats.org/officeDocument/2006/relationships/hyperlink" Target="http://germanhistorydocs.ghi-dc.org/sub_image.cfm?image_id=427"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2C4CF-8D42-424E-B15D-F32001541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1403</Words>
  <Characters>8843</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10226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Ingrid</dc:creator>
  <cp:lastModifiedBy>User</cp:lastModifiedBy>
  <cp:revision>2</cp:revision>
  <cp:lastPrinted>2015-09-23T11:10:00Z</cp:lastPrinted>
  <dcterms:created xsi:type="dcterms:W3CDTF">2016-07-21T07:55:00Z</dcterms:created>
  <dcterms:modified xsi:type="dcterms:W3CDTF">2016-07-21T07:55:00Z</dcterms:modified>
</cp:coreProperties>
</file>