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3AD" w:rsidRDefault="00E368F2">
      <w:pPr>
        <w:jc w:val="center"/>
        <w:rPr>
          <w:rFonts w:ascii="Arial" w:hAnsi="Arial" w:cs="Arial"/>
          <w:b/>
        </w:rPr>
      </w:pPr>
      <w:r>
        <w:rPr>
          <w:rFonts w:ascii="Arial" w:hAnsi="Arial" w:cs="Arial"/>
          <w:b/>
        </w:rPr>
        <w:t>„</w:t>
      </w:r>
      <w:proofErr w:type="spellStart"/>
      <w:r>
        <w:rPr>
          <w:rFonts w:ascii="Arial" w:hAnsi="Arial" w:cs="Arial"/>
          <w:b/>
        </w:rPr>
        <w:t>Debellare</w:t>
      </w:r>
      <w:proofErr w:type="spellEnd"/>
      <w:r>
        <w:rPr>
          <w:rFonts w:ascii="Arial" w:hAnsi="Arial" w:cs="Arial"/>
          <w:b/>
        </w:rPr>
        <w:t xml:space="preserve"> </w:t>
      </w:r>
      <w:proofErr w:type="spellStart"/>
      <w:r>
        <w:rPr>
          <w:rFonts w:ascii="Arial" w:hAnsi="Arial" w:cs="Arial"/>
          <w:b/>
        </w:rPr>
        <w:t>superbos</w:t>
      </w:r>
      <w:proofErr w:type="spellEnd"/>
      <w:r>
        <w:rPr>
          <w:rFonts w:ascii="Arial" w:hAnsi="Arial" w:cs="Arial"/>
          <w:b/>
        </w:rPr>
        <w:t>“: Umgang mit Autonomiebestrebungen und Aufständen im Römischen Reich am Beispiel der jüdischen Aufstände</w:t>
      </w:r>
    </w:p>
    <w:p w:rsidR="004A33AD" w:rsidRDefault="00E368F2">
      <w:pPr>
        <w:spacing w:after="0" w:line="240" w:lineRule="auto"/>
        <w:jc w:val="both"/>
        <w:rPr>
          <w:rFonts w:ascii="Arial" w:hAnsi="Arial" w:cs="Arial"/>
        </w:rPr>
      </w:pPr>
      <w:r>
        <w:rPr>
          <w:rFonts w:ascii="Arial" w:hAnsi="Arial" w:cs="Arial"/>
        </w:rPr>
        <w:t xml:space="preserve">Seit der Einverleibung des jüdischen Landes in das Imperium </w:t>
      </w:r>
      <w:proofErr w:type="spellStart"/>
      <w:r>
        <w:rPr>
          <w:rFonts w:ascii="Arial" w:hAnsi="Arial" w:cs="Arial"/>
        </w:rPr>
        <w:t>Romanum</w:t>
      </w:r>
      <w:proofErr w:type="spellEnd"/>
      <w:r>
        <w:rPr>
          <w:rFonts w:ascii="Arial" w:hAnsi="Arial" w:cs="Arial"/>
        </w:rPr>
        <w:t xml:space="preserve"> um 6 n. Chr. hatte es immer wieder Konflikte in der Provinz gegeben, sei es zwischen den hellenisierten Bewohnern der Küstenstädte und den Bauern des Hinterlandes, oder auch zwischen Juden</w:t>
      </w:r>
      <w:r>
        <w:rPr>
          <w:rFonts w:ascii="Arial" w:hAnsi="Arial" w:cs="Arial"/>
        </w:rPr>
        <w:t>, Griechen und Syrern. Die römische Militärverwaltung agierte ihrerseits mit starker Repression, insbesondere gegenüber dem fanatisch vorgetragenen Messianismus der Zeloten. Als der römische Statthalter 66 n. Chr. den Tempelschatz in Jerusalem beschlagnahm</w:t>
      </w:r>
      <w:r>
        <w:rPr>
          <w:rFonts w:ascii="Arial" w:hAnsi="Arial" w:cs="Arial"/>
        </w:rPr>
        <w:t xml:space="preserve">te, brach in der Folge ein landesweiter Aufstand gegen die römische Besatzung aus. Der römische Statthalter wurde vertrieben und die römische 12.Legion bei Beth </w:t>
      </w:r>
      <w:proofErr w:type="spellStart"/>
      <w:r>
        <w:rPr>
          <w:rFonts w:ascii="Arial" w:hAnsi="Arial" w:cs="Arial"/>
        </w:rPr>
        <w:t>Horon</w:t>
      </w:r>
      <w:proofErr w:type="spellEnd"/>
      <w:r>
        <w:rPr>
          <w:rFonts w:ascii="Arial" w:hAnsi="Arial" w:cs="Arial"/>
        </w:rPr>
        <w:t xml:space="preserve"> geschlagen: 6000 Soldaten wurden getötet, der Legionsadler ging verloren. Dies war die sc</w:t>
      </w:r>
      <w:r>
        <w:rPr>
          <w:rFonts w:ascii="Arial" w:hAnsi="Arial" w:cs="Arial"/>
        </w:rPr>
        <w:t xml:space="preserve">hwerste Niederlage Roms gegen eine rebellische Provinz.     </w:t>
      </w:r>
    </w:p>
    <w:p w:rsidR="004A33AD" w:rsidRDefault="00E368F2">
      <w:pPr>
        <w:spacing w:after="0" w:line="240" w:lineRule="auto"/>
        <w:jc w:val="both"/>
        <w:rPr>
          <w:lang w:eastAsia="de-DE"/>
        </w:rPr>
      </w:pPr>
      <w:r>
        <w:rPr>
          <w:rFonts w:ascii="Arial" w:hAnsi="Arial" w:cs="Arial"/>
        </w:rPr>
        <w:t xml:space="preserve">Als Reaktion darauf wurde unter dem späteren Kaiser Vespasian ein römischer Rachefeldzug mit drei Legionen und ebenso vielen Hilfstruppen, insgesamt etwa 60 000 Man durchgeführt.  Am Ende dieses </w:t>
      </w:r>
      <w:r>
        <w:rPr>
          <w:rFonts w:ascii="Arial" w:hAnsi="Arial" w:cs="Arial"/>
        </w:rPr>
        <w:t xml:space="preserve">mit äußerster Brutalität geführten </w:t>
      </w:r>
      <w:r>
        <w:rPr>
          <w:rFonts w:ascii="Arial" w:hAnsi="Arial" w:cs="Arial"/>
          <w:u w:val="single"/>
        </w:rPr>
        <w:t>Jüdischen Krieges</w:t>
      </w:r>
      <w:r>
        <w:rPr>
          <w:rFonts w:ascii="Arial" w:hAnsi="Arial" w:cs="Arial"/>
        </w:rPr>
        <w:t xml:space="preserve"> (66-70 n. Chr.) war der Tempel in Jerusalem geplündert und zerstört, viele Juden getötet oder versklavt. Als sich 60 Jahre später erneut jüdischer Widerstand gegen Rom unter dem Anführer Bar </w:t>
      </w:r>
      <w:proofErr w:type="spellStart"/>
      <w:r>
        <w:rPr>
          <w:rFonts w:ascii="Arial" w:hAnsi="Arial" w:cs="Arial"/>
        </w:rPr>
        <w:t>Kochba</w:t>
      </w:r>
      <w:proofErr w:type="spellEnd"/>
      <w:r>
        <w:rPr>
          <w:rFonts w:ascii="Arial" w:hAnsi="Arial" w:cs="Arial"/>
        </w:rPr>
        <w:t xml:space="preserve"> formi</w:t>
      </w:r>
      <w:r>
        <w:rPr>
          <w:rFonts w:ascii="Arial" w:hAnsi="Arial" w:cs="Arial"/>
        </w:rPr>
        <w:t xml:space="preserve">erte – Anlass war eine Koloniegründung römischer Soldaten in Jerusalem – schlug Kaiser Hadrian die in Partisanentaktik operierenden Juden in einem blutigen und zähen Zerstörungsfeldzug. Nach dem </w:t>
      </w:r>
      <w:r w:rsidRPr="00E368F2">
        <w:rPr>
          <w:rFonts w:ascii="Arial" w:hAnsi="Arial" w:cs="Arial"/>
          <w:u w:val="single"/>
        </w:rPr>
        <w:t xml:space="preserve">Bar </w:t>
      </w:r>
      <w:proofErr w:type="spellStart"/>
      <w:r w:rsidRPr="00E368F2">
        <w:rPr>
          <w:rFonts w:ascii="Arial" w:hAnsi="Arial" w:cs="Arial"/>
          <w:u w:val="single"/>
        </w:rPr>
        <w:t>Kochba</w:t>
      </w:r>
      <w:proofErr w:type="spellEnd"/>
      <w:r w:rsidRPr="00E368F2">
        <w:rPr>
          <w:rFonts w:ascii="Arial" w:hAnsi="Arial" w:cs="Arial"/>
          <w:u w:val="single"/>
        </w:rPr>
        <w:t>-Aufstand</w:t>
      </w:r>
      <w:r>
        <w:rPr>
          <w:rFonts w:ascii="Arial" w:hAnsi="Arial" w:cs="Arial"/>
        </w:rPr>
        <w:t xml:space="preserve"> (132-135 n. Chr.) waren etwa 500 000 Jude</w:t>
      </w:r>
      <w:r>
        <w:rPr>
          <w:rFonts w:ascii="Arial" w:hAnsi="Arial" w:cs="Arial"/>
        </w:rPr>
        <w:t xml:space="preserve">n getötet worden, den Überlebenden war es nicht mehr erlaubt, das nun in </w:t>
      </w:r>
      <w:proofErr w:type="spellStart"/>
      <w:r>
        <w:rPr>
          <w:rFonts w:ascii="Arial" w:hAnsi="Arial" w:cs="Arial"/>
        </w:rPr>
        <w:t>Aelia</w:t>
      </w:r>
      <w:proofErr w:type="spellEnd"/>
      <w:r>
        <w:rPr>
          <w:rFonts w:ascii="Arial" w:hAnsi="Arial" w:cs="Arial"/>
        </w:rPr>
        <w:t xml:space="preserve"> </w:t>
      </w:r>
      <w:proofErr w:type="spellStart"/>
      <w:r>
        <w:rPr>
          <w:rFonts w:ascii="Arial" w:hAnsi="Arial" w:cs="Arial"/>
        </w:rPr>
        <w:t>Capitolina</w:t>
      </w:r>
      <w:proofErr w:type="spellEnd"/>
      <w:r>
        <w:rPr>
          <w:rFonts w:ascii="Arial" w:hAnsi="Arial" w:cs="Arial"/>
        </w:rPr>
        <w:t xml:space="preserve"> umbenannte Jerusalem zu betreten. Es begann die sogenannte Diaspora, d.h. die Flucht und </w:t>
      </w:r>
      <w:proofErr w:type="spellStart"/>
      <w:r>
        <w:rPr>
          <w:rFonts w:ascii="Arial" w:hAnsi="Arial" w:cs="Arial"/>
        </w:rPr>
        <w:t>Verstreuung</w:t>
      </w:r>
      <w:proofErr w:type="spellEnd"/>
      <w:r>
        <w:rPr>
          <w:rFonts w:ascii="Arial" w:hAnsi="Arial" w:cs="Arial"/>
        </w:rPr>
        <w:t xml:space="preserve"> der Juden im Römischen Reich, die im Hebräischen im Übrigen </w:t>
      </w:r>
      <w:proofErr w:type="spellStart"/>
      <w:r>
        <w:rPr>
          <w:rFonts w:ascii="Arial" w:hAnsi="Arial" w:cs="Arial"/>
        </w:rPr>
        <w:t>galut</w:t>
      </w:r>
      <w:proofErr w:type="spellEnd"/>
      <w:r>
        <w:rPr>
          <w:rFonts w:ascii="Arial" w:hAnsi="Arial" w:cs="Arial"/>
        </w:rPr>
        <w:t xml:space="preserve"> (=Exil) heißt, und die jüdische Geschichte bis auf den heutigen Tag prägen sollte.</w:t>
      </w:r>
      <w:r>
        <w:rPr>
          <w:lang w:eastAsia="de-DE"/>
        </w:rPr>
        <w:t xml:space="preserve"> </w:t>
      </w:r>
    </w:p>
    <w:p w:rsidR="004A33AD" w:rsidRDefault="00E368F2">
      <w:r>
        <w:rPr>
          <w:noProof/>
          <w:lang w:eastAsia="de-DE"/>
        </w:rPr>
        <w:drawing>
          <wp:anchor distT="0" distB="0" distL="0" distR="0" simplePos="0" relativeHeight="251658240" behindDoc="0" locked="0" layoutInCell="1" allowOverlap="1">
            <wp:simplePos x="0" y="0"/>
            <wp:positionH relativeFrom="page">
              <wp:posOffset>5177790</wp:posOffset>
            </wp:positionH>
            <wp:positionV relativeFrom="page">
              <wp:posOffset>3554730</wp:posOffset>
            </wp:positionV>
            <wp:extent cx="4996815" cy="2402840"/>
            <wp:effectExtent l="1905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4"/>
                    <a:stretch>
                      <a:fillRect/>
                    </a:stretch>
                  </pic:blipFill>
                  <pic:spPr bwMode="auto">
                    <a:xfrm>
                      <a:off x="0" y="0"/>
                      <a:ext cx="4996815" cy="2402840"/>
                    </a:xfrm>
                    <a:prstGeom prst="rect">
                      <a:avLst/>
                    </a:prstGeom>
                    <a:noFill/>
                    <a:ln w="9525">
                      <a:noFill/>
                      <a:miter lim="800000"/>
                      <a:headEnd/>
                      <a:tailEnd/>
                    </a:ln>
                  </pic:spPr>
                </pic:pic>
              </a:graphicData>
            </a:graphic>
          </wp:anchor>
        </w:drawing>
      </w:r>
      <w:r>
        <w:rPr>
          <w:noProof/>
          <w:lang w:eastAsia="de-DE"/>
        </w:rPr>
        <w:drawing>
          <wp:anchor distT="0" distB="0" distL="0" distR="0" simplePos="0" relativeHeight="251659264" behindDoc="0" locked="0" layoutInCell="1" allowOverlap="1">
            <wp:simplePos x="0" y="0"/>
            <wp:positionH relativeFrom="page">
              <wp:posOffset>318770</wp:posOffset>
            </wp:positionH>
            <wp:positionV relativeFrom="page">
              <wp:posOffset>3561715</wp:posOffset>
            </wp:positionV>
            <wp:extent cx="4295140" cy="2392045"/>
            <wp:effectExtent l="19050" t="0" r="0" b="0"/>
            <wp:wrapSquare wrapText="largest"/>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5"/>
                    <a:stretch>
                      <a:fillRect/>
                    </a:stretch>
                  </pic:blipFill>
                  <pic:spPr bwMode="auto">
                    <a:xfrm>
                      <a:off x="0" y="0"/>
                      <a:ext cx="4295140" cy="2392045"/>
                    </a:xfrm>
                    <a:prstGeom prst="rect">
                      <a:avLst/>
                    </a:prstGeom>
                    <a:noFill/>
                    <a:ln w="9525">
                      <a:noFill/>
                      <a:miter lim="800000"/>
                      <a:headEnd/>
                      <a:tailEnd/>
                    </a:ln>
                  </pic:spPr>
                </pic:pic>
              </a:graphicData>
            </a:graphic>
          </wp:anchor>
        </w:drawing>
      </w:r>
    </w:p>
    <w:p w:rsidR="004A33AD" w:rsidRDefault="004A33AD"/>
    <w:p w:rsidR="004A33AD" w:rsidRDefault="004A33AD"/>
    <w:p w:rsidR="004A33AD" w:rsidRDefault="004A33AD"/>
    <w:p w:rsidR="004A33AD" w:rsidRDefault="004A33AD"/>
    <w:p w:rsidR="004A33AD" w:rsidRDefault="004A33AD"/>
    <w:p w:rsidR="004A33AD" w:rsidRDefault="004A33AD"/>
    <w:p w:rsidR="00E368F2" w:rsidRDefault="00E368F2"/>
    <w:p w:rsidR="00E368F2" w:rsidRDefault="00E368F2">
      <w:r>
        <w:rPr>
          <w:noProof/>
        </w:rPr>
        <w:pict>
          <v:shapetype id="_x0000_t202" coordsize="21600,21600" o:spt="202" path="m,l,21600r21600,l21600,xe">
            <v:stroke joinstyle="miter"/>
            <v:path gradientshapeok="t" o:connecttype="rect"/>
          </v:shapetype>
          <v:shape id="_x0000_s1027" type="#_x0000_t202" style="position:absolute;margin-left:401.8pt;margin-top:.8pt;width:284.9pt;height:112.75pt;z-index:251663360;mso-width-percent:400;mso-width-percent:400;mso-width-relative:margin;mso-height-relative:margin">
            <v:textbox>
              <w:txbxContent>
                <w:p w:rsidR="00E368F2" w:rsidRPr="00E368F2" w:rsidRDefault="00E368F2" w:rsidP="00E368F2">
                  <w:pPr>
                    <w:rPr>
                      <w:sz w:val="12"/>
                      <w:szCs w:val="12"/>
                    </w:rPr>
                  </w:pPr>
                  <w:proofErr w:type="spellStart"/>
                  <w:r>
                    <w:t>Tetradrachme</w:t>
                  </w:r>
                  <w:proofErr w:type="spellEnd"/>
                  <w:r>
                    <w:t xml:space="preserve"> des Bar </w:t>
                  </w:r>
                  <w:proofErr w:type="spellStart"/>
                  <w:r>
                    <w:t>Kochba</w:t>
                  </w:r>
                  <w:proofErr w:type="spellEnd"/>
                  <w:r>
                    <w:t xml:space="preserve"> aus dem Jahre 134 n. Chr. Links der (70 n. Chr. zerstörte) Tempel in Jerusalem mit Stern, rechts der Strauß aus Zweigen der Dattelpalme (</w:t>
                  </w:r>
                  <w:proofErr w:type="spellStart"/>
                  <w:r>
                    <w:t>Lulav</w:t>
                  </w:r>
                  <w:proofErr w:type="spellEnd"/>
                  <w:r>
                    <w:t>) und der Inschrift „Für die Freiheit von Jerusalem</w:t>
                  </w:r>
                  <w:r w:rsidRPr="00E368F2">
                    <w:rPr>
                      <w:sz w:val="12"/>
                      <w:szCs w:val="12"/>
                    </w:rPr>
                    <w:t xml:space="preserve">“© </w:t>
                  </w:r>
                  <w:proofErr w:type="spellStart"/>
                  <w:r w:rsidRPr="00E368F2">
                    <w:rPr>
                      <w:sz w:val="12"/>
                      <w:szCs w:val="12"/>
                    </w:rPr>
                    <w:t>By</w:t>
                  </w:r>
                  <w:proofErr w:type="spellEnd"/>
                  <w:r w:rsidRPr="00E368F2">
                    <w:rPr>
                      <w:sz w:val="12"/>
                      <w:szCs w:val="12"/>
                    </w:rPr>
                    <w:t xml:space="preserve"> </w:t>
                  </w:r>
                  <w:proofErr w:type="spellStart"/>
                  <w:r w:rsidRPr="00E368F2">
                    <w:rPr>
                      <w:sz w:val="12"/>
                      <w:szCs w:val="12"/>
                    </w:rPr>
                    <w:t>Classical</w:t>
                  </w:r>
                  <w:proofErr w:type="spellEnd"/>
                  <w:r w:rsidRPr="00E368F2">
                    <w:rPr>
                      <w:sz w:val="12"/>
                      <w:szCs w:val="12"/>
                    </w:rPr>
                    <w:t xml:space="preserve"> </w:t>
                  </w:r>
                  <w:proofErr w:type="spellStart"/>
                  <w:r w:rsidRPr="00E368F2">
                    <w:rPr>
                      <w:sz w:val="12"/>
                      <w:szCs w:val="12"/>
                    </w:rPr>
                    <w:t>Numismatic</w:t>
                  </w:r>
                  <w:proofErr w:type="spellEnd"/>
                  <w:r w:rsidRPr="00E368F2">
                    <w:rPr>
                      <w:sz w:val="12"/>
                      <w:szCs w:val="12"/>
                    </w:rPr>
                    <w:t xml:space="preserve"> Group, Inc. http://www.cngcoins.com, CC BY-SA 3.0, https://commons.wikimedia.org/w/index.php?curid=2420146</w:t>
                  </w:r>
                </w:p>
                <w:p w:rsidR="00E368F2" w:rsidRDefault="00E368F2"/>
              </w:txbxContent>
            </v:textbox>
          </v:shape>
        </w:pict>
      </w:r>
      <w:r>
        <w:rPr>
          <w:noProof/>
        </w:rPr>
        <w:pict>
          <v:shape id="_x0000_s1026" type="#_x0000_t202" style="position:absolute;margin-left:-31.4pt;margin-top:.4pt;width:284.9pt;height:110.6pt;z-index:251661312;mso-width-percent:400;mso-height-percent:200;mso-width-percent:400;mso-height-percent:200;mso-width-relative:margin;mso-height-relative:margin">
            <v:textbox style="mso-fit-shape-to-text:t">
              <w:txbxContent>
                <w:p w:rsidR="00E368F2" w:rsidRDefault="00E368F2">
                  <w:r>
                    <w:t xml:space="preserve">Römische Soldaten schaffen das Inventar des geplünderten Tempels in Jerusalem weg, z.B. die goldene Menora (siebenarmiger Leuchter). Szene auf dem </w:t>
                  </w:r>
                  <w:proofErr w:type="spellStart"/>
                  <w:r>
                    <w:t>Titusbogen</w:t>
                  </w:r>
                  <w:proofErr w:type="spellEnd"/>
                  <w:r>
                    <w:t xml:space="preserve"> ende des 1. </w:t>
                  </w:r>
                  <w:proofErr w:type="spellStart"/>
                  <w:r>
                    <w:t>Jhdts</w:t>
                  </w:r>
                  <w:proofErr w:type="spellEnd"/>
                  <w:r>
                    <w:t xml:space="preserve">. n. Chr.  </w:t>
                  </w:r>
                  <w:r>
                    <w:rPr>
                      <w:sz w:val="12"/>
                      <w:szCs w:val="12"/>
                    </w:rPr>
                    <w:t xml:space="preserve">© Von derivative </w:t>
                  </w:r>
                  <w:proofErr w:type="spellStart"/>
                  <w:r>
                    <w:rPr>
                      <w:sz w:val="12"/>
                      <w:szCs w:val="12"/>
                    </w:rPr>
                    <w:t>work</w:t>
                  </w:r>
                  <w:proofErr w:type="spellEnd"/>
                  <w:r>
                    <w:rPr>
                      <w:sz w:val="12"/>
                      <w:szCs w:val="12"/>
                    </w:rPr>
                    <w:t xml:space="preserve">: </w:t>
                  </w:r>
                  <w:proofErr w:type="spellStart"/>
                  <w:r>
                    <w:rPr>
                      <w:sz w:val="12"/>
                      <w:szCs w:val="12"/>
                    </w:rPr>
                    <w:t>Steerpike</w:t>
                  </w:r>
                  <w:proofErr w:type="spellEnd"/>
                  <w:r>
                    <w:rPr>
                      <w:sz w:val="12"/>
                      <w:szCs w:val="12"/>
                    </w:rPr>
                    <w:t xml:space="preserve"> (talk)Arc_de_Triumph_copy.jpg: </w:t>
                  </w:r>
                  <w:proofErr w:type="spellStart"/>
                  <w:r>
                    <w:rPr>
                      <w:sz w:val="12"/>
                      <w:szCs w:val="12"/>
                    </w:rPr>
                    <w:t>user</w:t>
                  </w:r>
                  <w:proofErr w:type="spellEnd"/>
                  <w:r>
                    <w:rPr>
                      <w:sz w:val="12"/>
                      <w:szCs w:val="12"/>
                    </w:rPr>
                    <w:t xml:space="preserve">: </w:t>
                  </w:r>
                  <w:r>
                    <w:rPr>
                      <w:rFonts w:ascii="Arial" w:hAnsi="Arial" w:cs="Arial"/>
                      <w:sz w:val="12"/>
                      <w:szCs w:val="12"/>
                      <w:rtl/>
                    </w:rPr>
                    <w:t>בית</w:t>
                  </w:r>
                  <w:r>
                    <w:rPr>
                      <w:sz w:val="12"/>
                      <w:szCs w:val="12"/>
                      <w:rtl/>
                    </w:rPr>
                    <w:t xml:space="preserve"> </w:t>
                  </w:r>
                  <w:r>
                    <w:rPr>
                      <w:rFonts w:ascii="Arial" w:hAnsi="Arial" w:cs="Arial"/>
                      <w:sz w:val="12"/>
                      <w:szCs w:val="12"/>
                      <w:rtl/>
                    </w:rPr>
                    <w:t>השלום</w:t>
                  </w:r>
                  <w:r>
                    <w:rPr>
                      <w:sz w:val="12"/>
                      <w:szCs w:val="12"/>
                    </w:rPr>
                    <w:t xml:space="preserve"> - Arc_de_Triumph_copy.jpg, CC BY 3.0, </w:t>
                  </w:r>
                  <w:hyperlink r:id="rId6">
                    <w:r>
                      <w:rPr>
                        <w:rStyle w:val="Internetlink"/>
                        <w:sz w:val="12"/>
                        <w:szCs w:val="12"/>
                      </w:rPr>
                      <w:t>https://commons.wikimedia.org/w/index.php?curid=4303855</w:t>
                    </w:r>
                  </w:hyperlink>
                </w:p>
              </w:txbxContent>
            </v:textbox>
          </v:shape>
        </w:pict>
      </w:r>
    </w:p>
    <w:p w:rsidR="004A33AD" w:rsidRDefault="004A33AD"/>
    <w:sectPr w:rsidR="004A33AD" w:rsidSect="004A33AD">
      <w:pgSz w:w="16838" w:h="11906" w:orient="landscape"/>
      <w:pgMar w:top="1417" w:right="1417" w:bottom="1417" w:left="1134"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Droid Sans Fallback">
    <w:altName w:val="Times New Roman"/>
    <w:charset w:val="01"/>
    <w:family w:val="auto"/>
    <w:pitch w:val="variable"/>
    <w:sig w:usb0="000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iberation Sans">
    <w:altName w:val="Arial"/>
    <w:charset w:val="01"/>
    <w:family w:val="swiss"/>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4A33AD"/>
    <w:rsid w:val="004A33AD"/>
    <w:rsid w:val="00E368F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Droid Sans Fallback" w:hAnsi="Calibri" w:cs="Times New Roman"/>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E7212"/>
    <w:pPr>
      <w:suppressAutoHyphens/>
      <w:spacing w:after="20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rsid w:val="002F63A3"/>
    <w:rPr>
      <w:rFonts w:ascii="Tahoma" w:hAnsi="Tahoma" w:cs="Tahoma"/>
      <w:sz w:val="16"/>
      <w:szCs w:val="16"/>
    </w:rPr>
  </w:style>
  <w:style w:type="character" w:customStyle="1" w:styleId="Internetlink">
    <w:name w:val="Internetlink"/>
    <w:basedOn w:val="Absatz-Standardschriftart"/>
    <w:uiPriority w:val="99"/>
    <w:unhideWhenUsed/>
    <w:rsid w:val="002F63A3"/>
    <w:rPr>
      <w:color w:val="0000FF"/>
      <w:u w:val="single"/>
    </w:rPr>
  </w:style>
  <w:style w:type="paragraph" w:customStyle="1" w:styleId="berschrift">
    <w:name w:val="Überschrift"/>
    <w:basedOn w:val="Standard"/>
    <w:next w:val="Textkrper"/>
    <w:rsid w:val="004A33AD"/>
    <w:pPr>
      <w:keepNext/>
      <w:spacing w:before="240" w:after="120"/>
    </w:pPr>
    <w:rPr>
      <w:rFonts w:ascii="Liberation Sans" w:hAnsi="Liberation Sans" w:cs="FreeSans"/>
      <w:sz w:val="28"/>
      <w:szCs w:val="28"/>
    </w:rPr>
  </w:style>
  <w:style w:type="paragraph" w:styleId="Textkrper">
    <w:name w:val="Body Text"/>
    <w:basedOn w:val="Standard"/>
    <w:rsid w:val="004A33AD"/>
    <w:pPr>
      <w:spacing w:after="140" w:line="288" w:lineRule="auto"/>
    </w:pPr>
  </w:style>
  <w:style w:type="paragraph" w:styleId="Liste">
    <w:name w:val="List"/>
    <w:basedOn w:val="Textkrper"/>
    <w:rsid w:val="004A33AD"/>
    <w:rPr>
      <w:rFonts w:cs="FreeSans"/>
    </w:rPr>
  </w:style>
  <w:style w:type="paragraph" w:styleId="Beschriftung">
    <w:name w:val="caption"/>
    <w:basedOn w:val="Standard"/>
    <w:rsid w:val="004A33AD"/>
    <w:pPr>
      <w:suppressLineNumbers/>
      <w:spacing w:before="120" w:after="120"/>
    </w:pPr>
    <w:rPr>
      <w:rFonts w:cs="FreeSans"/>
      <w:i/>
      <w:iCs/>
      <w:sz w:val="24"/>
      <w:szCs w:val="24"/>
    </w:rPr>
  </w:style>
  <w:style w:type="paragraph" w:customStyle="1" w:styleId="Verzeichnis">
    <w:name w:val="Verzeichnis"/>
    <w:basedOn w:val="Standard"/>
    <w:rsid w:val="004A33AD"/>
    <w:pPr>
      <w:suppressLineNumbers/>
    </w:pPr>
    <w:rPr>
      <w:rFonts w:cs="FreeSans"/>
    </w:rPr>
  </w:style>
  <w:style w:type="paragraph" w:styleId="Sprechblasentext">
    <w:name w:val="Balloon Text"/>
    <w:basedOn w:val="Standard"/>
    <w:link w:val="SprechblasentextZchn"/>
    <w:uiPriority w:val="99"/>
    <w:semiHidden/>
    <w:unhideWhenUsed/>
    <w:rsid w:val="002F63A3"/>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mmons.wikimedia.org/w/index.php?curid=4303855"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1740</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Home-Student</dc:creator>
  <cp:lastModifiedBy>Home-Student</cp:lastModifiedBy>
  <cp:revision>3</cp:revision>
  <dcterms:created xsi:type="dcterms:W3CDTF">2017-01-04T09:19:00Z</dcterms:created>
  <dcterms:modified xsi:type="dcterms:W3CDTF">2017-01-04T11:34:00Z</dcterms:modified>
  <dc:language>de-DE</dc:language>
</cp:coreProperties>
</file>