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8"/>
          <w:szCs w:val="28"/>
          <w:shd w:fill="F4B083" w:val="clear"/>
        </w:rPr>
      </w:pPr>
      <w:r>
        <w:rPr>
          <w:b/>
          <w:sz w:val="28"/>
          <w:szCs w:val="28"/>
          <w:shd w:fill="F4B083" w:val="clear"/>
        </w:rPr>
        <w:t>Themenverteilungsplan für den Basiskurs – Gesellschaft (fakultativ)</w:t>
      </w:r>
    </w:p>
    <w:tbl>
      <w:tblPr>
        <w:tblStyle w:val="Tabellenraster"/>
        <w:tblW w:w="145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9425"/>
        <w:gridCol w:w="1349"/>
      </w:tblGrid>
      <w:tr>
        <w:trPr/>
        <w:tc>
          <w:tcPr>
            <w:tcW w:w="14596" w:type="dxa"/>
            <w:gridSpan w:val="3"/>
            <w:tcBorders/>
            <w:shd w:color="auto" w:fill="FFC000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3.2.3 Gesellschaft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3.2.3.1 Gesellschaftsstruktur und gesellschaftlicher Wandel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3.2.3.2  Politik der Chancengleichheit</w:t>
            </w:r>
          </w:p>
        </w:tc>
      </w:tr>
      <w:tr>
        <w:trPr/>
        <w:tc>
          <w:tcPr>
            <w:tcW w:w="14596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Wie gerecht ist unsere Gesellschaft?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822" w:type="dxa"/>
            <w:tcBorders/>
            <w:shd w:color="auto" w:fill="B4C6E7" w:themeFill="accent1" w:themeFillTint="66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Leitfrage/Impulse zur Unterrichtsgestaltung</w:t>
            </w:r>
          </w:p>
        </w:tc>
        <w:tc>
          <w:tcPr>
            <w:tcW w:w="9425" w:type="dxa"/>
            <w:tcBorders/>
            <w:shd w:color="auto" w:fill="B4C6E7" w:themeFill="accent1" w:themeFillTint="66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Kompetenzen &amp; Basiskonzepte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color w:val="000000" w:themeColor="text1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Inhaltsbezogene und prozessbezogene Kompetenzen</w:t>
            </w:r>
          </w:p>
        </w:tc>
        <w:tc>
          <w:tcPr>
            <w:tcW w:w="1349" w:type="dxa"/>
            <w:tcBorders/>
            <w:shd w:color="auto" w:fill="B4C6E7" w:themeFill="accent1" w:themeFillTint="66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Stundenzahl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 xml:space="preserve">[32] </w:t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Bilden Modelle die Gesellschaft treffend ab?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/>
                <w:bCs/>
                <w:color w:val="C00000"/>
                <w:kern w:val="0"/>
                <w:sz w:val="22"/>
                <w:szCs w:val="22"/>
                <w:lang w:val="de-DE" w:eastAsia="en-US" w:bidi="ar-SA"/>
              </w:rPr>
              <w:t>Schichtmodelle</w:t>
            </w: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 xml:space="preserve"> – Reichweite und Grenzen des Modells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 xml:space="preserve">Darstellung </w:t>
            </w:r>
            <w:r>
              <w:rPr>
                <w:rFonts w:eastAsia="Calibri" w:cs=""/>
                <w:b/>
                <w:bCs/>
                <w:color w:val="C00000"/>
                <w:kern w:val="0"/>
                <w:sz w:val="22"/>
                <w:szCs w:val="22"/>
                <w:lang w:val="de-DE" w:eastAsia="en-US" w:bidi="ar-SA"/>
              </w:rPr>
              <w:t>sozialer Milieus</w:t>
            </w:r>
            <w:r>
              <w:rPr>
                <w:rFonts w:eastAsia="Calibri" w:cs=""/>
                <w:color w:val="C00000"/>
                <w:kern w:val="0"/>
                <w:sz w:val="22"/>
                <w:szCs w:val="22"/>
                <w:lang w:val="de-DE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in Ost- und Westdeutschland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942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 xml:space="preserve">Ordnung &amp; Struktur: </w:t>
            </w: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de-DE" w:eastAsia="en-US" w:bidi="ar-SA"/>
              </w:rPr>
              <w:t>Sind wir EINE Gesellschaft?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Interesse &amp; Gemeinwohl:</w:t>
            </w: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de-DE" w:eastAsia="en-US" w:bidi="ar-SA"/>
              </w:rPr>
              <w:t xml:space="preserve"> Freiheit versus Gleichheit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 xml:space="preserve">3.2.3.1 Gesellschaftsstruktur und gesellschaftlicher Wandel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 xml:space="preserve">(1) Modelle der sozialen Differenzierung charakterisieren </w:t>
            </w:r>
            <w:r>
              <w:rPr>
                <w:rFonts w:eastAsia="Calibri" w:cs=""/>
                <w:b/>
                <w:bCs/>
                <w:color w:val="C00000"/>
                <w:kern w:val="0"/>
                <w:sz w:val="22"/>
                <w:szCs w:val="22"/>
                <w:lang w:val="de-DE" w:eastAsia="en-US" w:bidi="ar-SA"/>
              </w:rPr>
              <w:t>(</w:t>
            </w:r>
            <w:r>
              <w:rPr>
                <w:rFonts w:eastAsia="Calibri" w:cs=""/>
                <w:b/>
                <w:bCs/>
                <w:color w:val="C00000"/>
                <w:kern w:val="0"/>
                <w:sz w:val="22"/>
                <w:szCs w:val="22"/>
                <w:lang w:val="de-DE" w:eastAsia="en-US" w:bidi="ar-SA"/>
              </w:rPr>
              <w:t xml:space="preserve">z.B </w:t>
            </w:r>
            <w:r>
              <w:rPr>
                <w:rFonts w:eastAsia="Calibri" w:cs=""/>
                <w:b/>
                <w:iCs/>
                <w:color w:val="C00000"/>
                <w:kern w:val="0"/>
                <w:sz w:val="22"/>
                <w:szCs w:val="22"/>
                <w:lang w:val="de-DE" w:eastAsia="en-US" w:bidi="ar-SA"/>
              </w:rPr>
              <w:t>Schichtmodell, soziale Milieus</w:t>
            </w:r>
            <w:r>
              <w:rPr>
                <w:rFonts w:eastAsia="Calibri" w:cs=""/>
                <w:iCs/>
                <w:color w:val="C00000"/>
                <w:kern w:val="0"/>
                <w:sz w:val="22"/>
                <w:szCs w:val="22"/>
                <w:lang w:val="de-DE" w:eastAsia="en-US" w:bidi="ar-SA"/>
              </w:rPr>
              <w:t>,</w:t>
            </w:r>
            <w:r>
              <w:rPr>
                <w:rFonts w:eastAsia="Calibri" w:cs=""/>
                <w:b/>
                <w:iCs/>
                <w:color w:val="C00000"/>
                <w:kern w:val="0"/>
                <w:sz w:val="22"/>
                <w:szCs w:val="22"/>
                <w:lang w:val="de-DE" w:eastAsia="en-US" w:bidi="ar-SA"/>
              </w:rPr>
              <w:t xml:space="preserve"> </w:t>
            </w:r>
            <w:r>
              <w:rPr>
                <w:rFonts w:eastAsia="Calibri" w:cs=""/>
                <w:b/>
                <w:iCs/>
                <w:strike/>
                <w:color w:val="C00000"/>
                <w:kern w:val="0"/>
                <w:sz w:val="22"/>
                <w:szCs w:val="22"/>
                <w:lang w:val="de-DE" w:eastAsia="en-US" w:bidi="ar-SA"/>
              </w:rPr>
              <w:t>Modell</w:t>
            </w:r>
            <w:r>
              <w:rPr>
                <w:rFonts w:eastAsia="Calibri" w:cs=""/>
                <w:b/>
                <w:strike/>
                <w:color w:val="C00000"/>
                <w:kern w:val="0"/>
                <w:sz w:val="22"/>
                <w:szCs w:val="22"/>
                <w:lang w:val="de-DE" w:eastAsia="en-US" w:bidi="ar-SA"/>
              </w:rPr>
              <w:t xml:space="preserve"> von Exklusion und Inklusion</w:t>
            </w:r>
            <w:r>
              <w:rPr>
                <w:rFonts w:eastAsia="Calibri" w:cs=""/>
                <w:b/>
                <w:color w:val="C00000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b w:val="false"/>
                <w:b w:val="false"/>
                <w:bCs w:val="false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(2) die </w:t>
            </w:r>
            <w:r>
              <w:rPr>
                <w:rFonts w:eastAsia="Calibri" w:cs=""/>
                <w:b/>
                <w:bCs/>
                <w:color w:val="C00000"/>
                <w:kern w:val="0"/>
                <w:sz w:val="22"/>
                <w:szCs w:val="22"/>
                <w:lang w:val="de-DE" w:eastAsia="en-US" w:bidi="ar-SA"/>
              </w:rPr>
              <w:t>Konzepte von Rawls und Nozick</w:t>
            </w:r>
            <w:r>
              <w:rPr>
                <w:rFonts w:eastAsia="Calibri" w:cs=""/>
                <w:b w:val="false"/>
                <w:bCs w:val="false"/>
                <w:color w:val="C00000"/>
                <w:kern w:val="0"/>
                <w:sz w:val="22"/>
                <w:szCs w:val="22"/>
                <w:lang w:val="de-DE" w:eastAsia="en-US" w:bidi="ar-SA"/>
              </w:rPr>
              <w:t xml:space="preserve"> </w:t>
            </w: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zu sozialer Gerechtigkeit, Gleichheit und Freiheit vergleichen (Gerechtigkeitsgrundsätze, Rechte und Verpflichtungen der Bürger gegenüber dem Staat, Begründungen des zulässigen Ausmaßes an Ungleichheit, Funktionen des Staates)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color w:val="000000" w:themeColor="text1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>2.1 Analysekompetenz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left"/>
              <w:rPr>
                <w:color w:val="000000" w:themeColor="text1"/>
              </w:rPr>
            </w:pPr>
            <w:r>
              <w:rPr>
                <w:rFonts w:eastAsia="Calibri" w:cs="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politische, wirtschaftliche und gesellschaftliche Sach-, Konflikt- und Problemlagen anhand von Modellen und Theorien untersuchen 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color w:val="000000" w:themeColor="text1"/>
              </w:rPr>
            </w:pPr>
            <w:r>
              <w:rPr>
                <w:rFonts w:eastAsia="Calibri" w:cs=""/>
                <w:b/>
                <w:color w:val="0070C0"/>
                <w:kern w:val="0"/>
                <w:sz w:val="22"/>
                <w:szCs w:val="22"/>
                <w:lang w:val="de-DE" w:eastAsia="en-US" w:bidi="ar-SA"/>
              </w:rPr>
              <w:t>-&gt; Arbeit mit Modellen und Theorien</w:t>
            </w:r>
          </w:p>
        </w:tc>
        <w:tc>
          <w:tcPr>
            <w:tcW w:w="1349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[6]</w:t>
            </w:r>
          </w:p>
        </w:tc>
      </w:tr>
      <w:tr>
        <w:trPr>
          <w:trHeight w:val="841" w:hRule="atLeast"/>
        </w:trPr>
        <w:tc>
          <w:tcPr>
            <w:tcW w:w="3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Brauchen wir eine gerechtere Gesellschaft?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jc w:val="left"/>
              <w:rPr>
                <w:rFonts w:eastAsia="Calibri" w:cs=""/>
                <w:b/>
                <w:b/>
                <w:bCs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/>
                <w:bCs/>
                <w:color w:val="C00000"/>
                <w:kern w:val="0"/>
                <w:sz w:val="22"/>
                <w:szCs w:val="22"/>
                <w:lang w:val="de-DE" w:eastAsia="en-US" w:bidi="ar-SA"/>
              </w:rPr>
              <w:t>Konzepte von Rawls und Nozick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720" w:hanging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720" w:hanging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720" w:hanging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left"/>
              <w:rPr>
                <w:i/>
                <w:i/>
              </w:rPr>
            </w:pPr>
            <w:r>
              <w:rPr>
                <w:rFonts w:eastAsia="Calibri" w:cs=""/>
                <w:i/>
                <w:kern w:val="0"/>
                <w:sz w:val="22"/>
                <w:szCs w:val="22"/>
                <w:lang w:val="de-DE" w:eastAsia="en-US" w:bidi="ar-SA"/>
              </w:rPr>
              <w:t xml:space="preserve"> </w:t>
            </w:r>
          </w:p>
        </w:tc>
        <w:tc>
          <w:tcPr>
            <w:tcW w:w="942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34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  <w:shd w:color="auto" w:fill="B4C6E7" w:themeFill="accent1" w:themeFillTint="66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9425" w:type="dxa"/>
            <w:tcBorders/>
            <w:shd w:color="auto" w:fill="B4C6E7" w:themeFill="accent1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349" w:type="dxa"/>
            <w:tcBorders/>
            <w:shd w:color="auto" w:fill="B4C6E7" w:themeFill="accent1" w:themeFillTint="66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Wird unsere Gesellschaft immer ungerechter?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94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Knappheit &amp; Verteilung:</w:t>
            </w: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de-DE" w:eastAsia="en-US" w:bidi="ar-SA"/>
              </w:rPr>
              <w:t xml:space="preserve"> Wollen wir Einkommens- und Vermögensunterschiede hinnehmen?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3.2.3.2 Politik der Chancengleichheit: Verteilungspolitik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(1) politische, gesellschaftliche und wirtschaftliche Folgen ungleicher Einkommens- und Vermögensverteilung erläutern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 xml:space="preserve">3.2.3.1 Gesellschaftsstruktur und gesellschaftlicher Wandel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de-DE" w:eastAsia="en-US" w:bidi="ar-SA"/>
              </w:rPr>
              <w:t>(1) Modelle der sozialen Differenzierung charakterisieren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 xml:space="preserve"> </w:t>
            </w:r>
            <w:r>
              <w:rPr>
                <w:rFonts w:eastAsia="Calibri" w:cs=""/>
                <w:b/>
                <w:bCs/>
                <w:color w:val="C00000"/>
                <w:kern w:val="0"/>
                <w:sz w:val="22"/>
                <w:szCs w:val="22"/>
                <w:lang w:val="de-DE" w:eastAsia="en-US" w:bidi="ar-SA"/>
              </w:rPr>
              <w:t>(</w:t>
            </w:r>
            <w:r>
              <w:rPr>
                <w:rFonts w:eastAsia="Calibri" w:cs=""/>
                <w:b/>
                <w:bCs/>
                <w:color w:val="C00000"/>
                <w:kern w:val="0"/>
                <w:sz w:val="22"/>
                <w:szCs w:val="22"/>
                <w:lang w:val="de-DE" w:eastAsia="en-US" w:bidi="ar-SA"/>
              </w:rPr>
              <w:t xml:space="preserve">z.B. </w:t>
            </w:r>
            <w:r>
              <w:rPr>
                <w:rFonts w:eastAsia="Calibri" w:cs=""/>
                <w:b/>
                <w:iCs/>
                <w:color w:val="C00000"/>
                <w:kern w:val="0"/>
                <w:sz w:val="22"/>
                <w:szCs w:val="22"/>
                <w:lang w:val="de-DE" w:eastAsia="en-US" w:bidi="ar-SA"/>
              </w:rPr>
              <w:t xml:space="preserve">Schichtmodell, soziale Milieus, </w:t>
            </w:r>
            <w:r>
              <w:rPr>
                <w:rFonts w:eastAsia="Calibri" w:cs=""/>
                <w:b/>
                <w:iCs/>
                <w:strike/>
                <w:color w:val="C00000"/>
                <w:kern w:val="0"/>
                <w:sz w:val="22"/>
                <w:szCs w:val="22"/>
                <w:lang w:val="de-DE" w:eastAsia="en-US" w:bidi="ar-SA"/>
              </w:rPr>
              <w:t>Modell</w:t>
            </w:r>
            <w:r>
              <w:rPr>
                <w:rFonts w:eastAsia="Calibri" w:cs=""/>
                <w:b/>
                <w:strike/>
                <w:color w:val="C00000"/>
                <w:kern w:val="0"/>
                <w:sz w:val="22"/>
                <w:szCs w:val="22"/>
                <w:lang w:val="de-DE" w:eastAsia="en-US" w:bidi="ar-SA"/>
              </w:rPr>
              <w:t xml:space="preserve"> von Exklusion und Inklusion</w:t>
            </w:r>
            <w:r>
              <w:rPr>
                <w:rFonts w:eastAsia="Calibri" w:cs=""/>
                <w:b/>
                <w:color w:val="C00000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2.1 Analysekompetenz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color w:val="000000" w:themeColor="text1"/>
              </w:rPr>
            </w:pPr>
            <w:r>
              <w:rPr>
                <w:rFonts w:eastAsia="Calibri" w:cs="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>politische, wirtschaftliche und gesellschaftliche Sach-, Konflikt- und Problemlagen anhand von Modellen und Theorien untersuchen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40" w:hanging="0"/>
              <w:contextualSpacing/>
              <w:jc w:val="left"/>
              <w:rPr>
                <w:color w:val="000000" w:themeColor="text1"/>
              </w:rPr>
            </w:pPr>
            <w:r>
              <w:rPr>
                <w:rFonts w:eastAsia="Calibri" w:cs=""/>
                <w:b/>
                <w:color w:val="0070C0"/>
                <w:kern w:val="0"/>
                <w:sz w:val="22"/>
                <w:szCs w:val="22"/>
                <w:lang w:val="de-DE" w:eastAsia="en-US" w:bidi="ar-SA"/>
              </w:rPr>
              <w:t>-&gt; Arbeit mit Modellen und Theorien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b w:val="false"/>
                <w:b w:val="false"/>
                <w:bCs w:val="false"/>
                <w:color w:val="0070C0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bei der Untersuchung von Sach-, Konflikt- und Problemlagen unterschiedliche Bereiche berücksichtigen (Gesellschaft, Wirtschaft, Politik) 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b w:val="false"/>
                <w:b w:val="false"/>
                <w:bCs w:val="false"/>
                <w:color w:val="0070C0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bei der Untersuchung politischer, wirtschaftlicher und gesellschaftlicher Sach-, Konflikt- und Problemlagen unterschiedliche Perspektiven berücksichtigen (individuelle, öffentliche, systemische) 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13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[4]</w:t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Kann eine Vermögenssteuer die Gesellschaft gerechter machen?</w:t>
            </w:r>
          </w:p>
        </w:tc>
        <w:tc>
          <w:tcPr>
            <w:tcW w:w="94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de-DE" w:eastAsia="en-US" w:bidi="ar-SA"/>
              </w:rPr>
              <w:t xml:space="preserve">Knappheit &amp; Verteilung: </w:t>
            </w: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de-DE" w:eastAsia="en-US" w:bidi="ar-SA"/>
              </w:rPr>
              <w:t>Brauchen wir mehr finanzielle Umverteilung?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bCs w:val="false"/>
                <w:kern w:val="0"/>
                <w:sz w:val="22"/>
                <w:szCs w:val="22"/>
                <w:lang w:val="de-DE" w:eastAsia="en-US" w:bidi="ar-SA"/>
              </w:rPr>
              <w:t>3.2.3.2 Politik der Chancengleichheit: Verteilungspolitik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(2) Maßnahmen der Umverteilung durch den Staat erläutern (Steuern, Transferzahlungen, sozial gestaltetes öffentliches Güterangebot)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(3) erörtern, ob durch staatliche Maßnahmen die Vermögensunterschiede in einer Gesellschaft reduziert werden sollen (zum Beispiel Erbschaftssteuer, Vermögenssteuer, Vermögensabgabe)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2.1 Analysekompetenz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b w:val="false"/>
                <w:b w:val="false"/>
                <w:bCs w:val="false"/>
                <w:color w:val="0070C0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bei der Untersuchung von Sach-, Konflikt- und Problemlagen unterschiedliche Bereiche berücksichtigen (Gesellschaft, Wirtschaft, Politik)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color w:val="000000" w:themeColor="text1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>2.2 Urteilskompetenz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b w:val="false"/>
                <w:b w:val="false"/>
                <w:bCs w:val="false"/>
                <w:color w:val="0070C0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zu einer vorgegebenen Problemstellung eigenständig und unter Berücksichtigung unterschiedlicher Perspektiven durch Abwägen von Pro- und Kontra-Argumenten ein begründetes Fazit ziehen 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13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[6]</w:t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Umverteilungspolitik auf dem Prüfstand – Teilhabe für alle?!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/>
                <w:color w:val="C00000"/>
                <w:kern w:val="0"/>
                <w:sz w:val="22"/>
                <w:szCs w:val="22"/>
                <w:lang w:val="de-DE" w:eastAsia="en-US" w:bidi="ar-SA"/>
              </w:rPr>
              <w:t>Modelle von Exklusion und Inklusion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ind w:left="360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94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 xml:space="preserve">Interessen &amp; Gemeinwohl: </w:t>
            </w: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de-DE" w:eastAsia="en-US" w:bidi="ar-SA"/>
              </w:rPr>
              <w:t>Inwieweit gelingt es dem Staat, Chancengleichheit herzustellen?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3.2.3.2 Politik der Chancengleichheit: Verteilungspolitik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(4) mithilfe von Material überprüfen, inwieweit durch Umverteilungspolitik gleiche Chancen zur politischen, gesellschaftlichen und wirtschaftlichen Teilhabe gewährleistet werden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 xml:space="preserve">3.2.3.1 Gesellschaftsstruktur und gesellschaftlicher Wandel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 xml:space="preserve">(1) Modelle der sozialen Differenzierung charakterisieren </w:t>
            </w:r>
            <w:r>
              <w:rPr>
                <w:rFonts w:eastAsia="Calibri" w:cs=""/>
                <w:color w:val="C00000"/>
                <w:kern w:val="0"/>
                <w:sz w:val="22"/>
                <w:szCs w:val="22"/>
                <w:lang w:val="de-DE" w:eastAsia="en-US" w:bidi="ar-SA"/>
              </w:rPr>
              <w:t>(</w:t>
            </w:r>
            <w:r>
              <w:rPr>
                <w:rFonts w:eastAsia="Calibri" w:cs=""/>
                <w:b/>
                <w:bCs/>
                <w:color w:val="C00000"/>
                <w:kern w:val="0"/>
                <w:sz w:val="22"/>
                <w:szCs w:val="22"/>
                <w:lang w:val="de-DE" w:eastAsia="en-US" w:bidi="ar-SA"/>
              </w:rPr>
              <w:t xml:space="preserve">z.B. </w:t>
            </w:r>
            <w:r>
              <w:rPr>
                <w:rFonts w:eastAsia="Calibri" w:cs=""/>
                <w:b/>
                <w:bCs/>
                <w:strike/>
                <w:color w:val="C00000"/>
                <w:kern w:val="0"/>
                <w:sz w:val="22"/>
                <w:szCs w:val="22"/>
                <w:lang w:val="de-DE" w:eastAsia="en-US" w:bidi="ar-SA"/>
              </w:rPr>
              <w:t>Schichtmodell, soziale Milieus</w:t>
            </w:r>
            <w:r>
              <w:rPr>
                <w:rFonts w:eastAsia="Calibri" w:cs=""/>
                <w:b/>
                <w:bCs/>
                <w:color w:val="C00000"/>
                <w:kern w:val="0"/>
                <w:sz w:val="22"/>
                <w:szCs w:val="22"/>
                <w:lang w:val="de-DE" w:eastAsia="en-US" w:bidi="ar-SA"/>
              </w:rPr>
              <w:t>, Modell von Exklusion und Inklusion</w:t>
            </w:r>
            <w:r>
              <w:rPr>
                <w:rFonts w:eastAsia="Calibri" w:cs=""/>
                <w:color w:val="C00000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2.1 Analysekompetenz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color w:val="000000" w:themeColor="text1"/>
              </w:rPr>
            </w:pPr>
            <w:r>
              <w:rPr>
                <w:rFonts w:eastAsia="Calibri" w:cs="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>politische, wirtschaftliche und gesellschaftliche Sach-, Konflikt- und Problemlagen anhand von Modellen und Theorien untersuchen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40" w:hanging="0"/>
              <w:contextualSpacing/>
              <w:jc w:val="left"/>
              <w:rPr>
                <w:color w:val="000000" w:themeColor="text1"/>
              </w:rPr>
            </w:pPr>
            <w:r>
              <w:rPr>
                <w:rFonts w:eastAsia="Calibri" w:cs=""/>
                <w:b/>
                <w:color w:val="0070C0"/>
                <w:kern w:val="0"/>
                <w:sz w:val="22"/>
                <w:szCs w:val="22"/>
                <w:lang w:val="de-DE" w:eastAsia="en-US" w:bidi="ar-SA"/>
              </w:rPr>
              <w:t>-&gt; Arbeit mit Modellen und Theorien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b w:val="false"/>
                <w:b w:val="false"/>
                <w:bCs w:val="false"/>
                <w:color w:val="0070C0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bei der Untersuchung von Sach-, Konflikt- und Problemlagen unterschiedliche Bereiche 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color w:val="000000" w:themeColor="text1"/>
              </w:rPr>
            </w:pP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               </w:t>
            </w: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berücksichtigen (Gesellschaft, Wirtschaft, Politik) 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  <w:color w:val="0070C0"/>
              </w:rPr>
            </w:pPr>
            <w:r>
              <w:rPr>
                <w:b/>
                <w:color w:val="0070C0"/>
              </w:rPr>
            </w:r>
          </w:p>
        </w:tc>
        <w:tc>
          <w:tcPr>
            <w:tcW w:w="13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[4]</w:t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Vorbild Frankreich – Kindergartenpflicht ab dem 3 Lebensjahr?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  <w:color w:val="000000"/>
              </w:rPr>
            </w:pPr>
            <w:r>
              <w:rPr>
                <w:rFonts w:eastAsia="Calibri" w:cs=""/>
                <w:b/>
                <w:color w:val="000000"/>
                <w:kern w:val="0"/>
                <w:sz w:val="22"/>
                <w:szCs w:val="22"/>
                <w:lang w:val="de-DE" w:eastAsia="en-US" w:bidi="ar-SA"/>
              </w:rPr>
              <w:t xml:space="preserve">Untersuchung des Kriteriums „Bildung“ in </w:t>
            </w:r>
            <w:r>
              <w:rPr>
                <w:rFonts w:eastAsia="Calibri" w:cs=""/>
                <w:b/>
                <w:color w:val="C9211E"/>
                <w:kern w:val="0"/>
                <w:sz w:val="22"/>
                <w:szCs w:val="22"/>
                <w:lang w:val="de-DE" w:eastAsia="en-US" w:bidi="ar-SA"/>
              </w:rPr>
              <w:t>Modellen der sozialen Differenzierung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94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bCs w:val="false"/>
                <w:kern w:val="0"/>
                <w:sz w:val="22"/>
                <w:szCs w:val="22"/>
                <w:lang w:val="de-DE" w:eastAsia="en-US" w:bidi="ar-SA"/>
              </w:rPr>
              <w:t xml:space="preserve">Ordnung &amp; Struktur: </w:t>
            </w: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de-DE" w:eastAsia="en-US" w:bidi="ar-SA"/>
              </w:rPr>
              <w:t>Was sind gesellschaftliche Voraussetzungen?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bCs w:val="false"/>
                <w:kern w:val="0"/>
                <w:sz w:val="22"/>
                <w:szCs w:val="22"/>
                <w:lang w:val="de-DE" w:eastAsia="en-US" w:bidi="ar-SA"/>
              </w:rPr>
              <w:t xml:space="preserve">Interessen &amp; Gemeinwohl: </w:t>
            </w: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de-DE" w:eastAsia="en-US" w:bidi="ar-SA"/>
              </w:rPr>
              <w:t>Was versucht der Staat, um Bildungsungleichheit zu verringern?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3.2.3.2 Politik der Chancengleichheit: Bildungspolitik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(5) die Entwicklung der Teilnahme an Bildung und die Entwicklung der Bildungsabschlüsse sowie die Einflussfaktoren darauf (soziale Herkunft, Migrationshintergrund, Geschlecht) mithilfe von Material analysieren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(6) politische, gesellschaftliche und wirtschaftliche Folgen von ungleichen Bildungschancen erläutern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(7) Maßnahmen staatlicher Bildungspolitik und gesellschaftliche Initiativen zur Bildungsförderung erläutern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 xml:space="preserve">3.2.3.1 Gesellschaftsstruktur und gesellschaftlicher Wandel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 xml:space="preserve">(1) Modelle der sozialen Differenzierung charakterisieren </w:t>
            </w:r>
            <w:r>
              <w:rPr>
                <w:rFonts w:eastAsia="Calibri" w:cs=""/>
                <w:color w:val="C00000"/>
                <w:kern w:val="0"/>
                <w:sz w:val="22"/>
                <w:szCs w:val="22"/>
                <w:lang w:val="de-DE" w:eastAsia="en-US" w:bidi="ar-SA"/>
              </w:rPr>
              <w:t>(</w:t>
            </w:r>
            <w:r>
              <w:rPr>
                <w:rFonts w:eastAsia="Calibri" w:cs=""/>
                <w:b/>
                <w:bCs/>
                <w:color w:val="C00000"/>
                <w:kern w:val="0"/>
                <w:sz w:val="22"/>
                <w:szCs w:val="22"/>
                <w:lang w:val="de-DE" w:eastAsia="en-US" w:bidi="ar-SA"/>
              </w:rPr>
              <w:t xml:space="preserve">z.B. </w:t>
            </w:r>
            <w:r>
              <w:rPr>
                <w:rFonts w:eastAsia="Calibri" w:cs=""/>
                <w:b/>
                <w:bCs/>
                <w:color w:val="C00000"/>
                <w:kern w:val="0"/>
                <w:sz w:val="22"/>
                <w:szCs w:val="22"/>
                <w:lang w:val="de-DE" w:eastAsia="en-US" w:bidi="ar-SA"/>
              </w:rPr>
              <w:t xml:space="preserve">Schichtmodell, soziale Milieus, </w:t>
            </w:r>
            <w:r>
              <w:rPr>
                <w:rFonts w:eastAsia="Calibri" w:cs=""/>
                <w:b/>
                <w:bCs/>
                <w:strike/>
                <w:color w:val="C00000"/>
                <w:kern w:val="0"/>
                <w:sz w:val="22"/>
                <w:szCs w:val="22"/>
                <w:lang w:val="de-DE" w:eastAsia="en-US" w:bidi="ar-SA"/>
              </w:rPr>
              <w:t>Modell von Exklusion und Inklusion</w:t>
            </w:r>
            <w:r>
              <w:rPr>
                <w:rFonts w:eastAsia="Calibri" w:cs=""/>
                <w:b/>
                <w:bCs/>
                <w:color w:val="C00000"/>
                <w:kern w:val="0"/>
                <w:sz w:val="22"/>
                <w:szCs w:val="22"/>
                <w:lang w:val="de-DE" w:eastAsia="en-US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2.1 Analysekompetenz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color w:val="000000" w:themeColor="text1"/>
              </w:rPr>
            </w:pPr>
            <w:r>
              <w:rPr>
                <w:rFonts w:eastAsia="Calibri" w:cs="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>politische, wirtschaftliche und gesellschaftliche Sach-, Konflikt- und Problemlagen anhand von Modellen und Theorien untersuchen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1440" w:hanging="0"/>
              <w:contextualSpacing/>
              <w:jc w:val="left"/>
              <w:rPr>
                <w:color w:val="000000" w:themeColor="text1"/>
              </w:rPr>
            </w:pPr>
            <w:r>
              <w:rPr>
                <w:rFonts w:eastAsia="Calibri" w:cs="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 </w:t>
            </w:r>
            <w:r>
              <w:rPr>
                <w:rFonts w:eastAsia="Calibri" w:cs="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>-</w:t>
            </w:r>
            <w:r>
              <w:rPr>
                <w:rFonts w:eastAsia="Calibri" w:cs=""/>
                <w:b/>
                <w:color w:val="0070C0"/>
                <w:kern w:val="0"/>
                <w:sz w:val="22"/>
                <w:szCs w:val="22"/>
                <w:lang w:val="de-DE" w:eastAsia="en-US" w:bidi="ar-SA"/>
              </w:rPr>
              <w:t>&gt; Arbeit mit Modellen und Theorien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b w:val="false"/>
                <w:b w:val="false"/>
                <w:bCs w:val="false"/>
                <w:color w:val="0070C0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bei der Untersuchung von Sach-, Konflikt- und Problemlagen unterschiedliche Bereiche 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Calibri" w:cs=""/>
                <w:b w:val="false"/>
                <w:b w:val="false"/>
                <w:bCs w:val="false"/>
                <w:color w:val="0070C0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               </w:t>
            </w: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berücksichtigen (Gesellschaft, Wirtschaft, Politik)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b w:val="false"/>
                <w:b w:val="false"/>
                <w:bCs w:val="false"/>
                <w:color w:val="0070C0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bei der Untersuchung politischer, wirtschaftlicher und gesellschaftlicher Sach-, Konflikt- und 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Calibri" w:hAnsi="Calibri" w:eastAsia="Calibri" w:cs=""/>
                <w:b w:val="false"/>
                <w:b w:val="false"/>
                <w:bCs w:val="false"/>
                <w:color w:val="0070C0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               </w:t>
            </w:r>
            <w:r>
              <w:rPr>
                <w:rFonts w:eastAsia="Calibri" w:cs=""/>
                <w:b w:val="false"/>
                <w:bCs w:val="false"/>
                <w:color w:val="000000" w:themeColor="text1"/>
                <w:kern w:val="0"/>
                <w:sz w:val="22"/>
                <w:szCs w:val="22"/>
                <w:lang w:val="de-DE" w:eastAsia="en-US" w:bidi="ar-SA"/>
              </w:rPr>
              <w:t xml:space="preserve">Problemlagen unterschiedliche Perspektiven berücksichtigen (indivi., öffentliche, systemische) 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13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[8]</w:t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Bildungspolitik auf dem Prüfstand – Gleiche Chancen für alle?!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Bildungschancen und -hürden</w:t>
            </w:r>
          </w:p>
        </w:tc>
        <w:tc>
          <w:tcPr>
            <w:tcW w:w="94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 xml:space="preserve">Interessen &amp; Gemeinwohl: </w:t>
            </w: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Inwieweit gelingt es dem Staat, Chancengleichheit herzustellen?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de-DE" w:eastAsia="en-US" w:bidi="ar-SA"/>
              </w:rPr>
              <w:t>3.2.3.2 Politik der Chancengleichheit: Bildungspolitik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(8) mithilfe von Material überprüfen, inwieweit durch Bildungspolitik gleiche Bildungschancen gewährleistet werden</w:t>
            </w:r>
          </w:p>
        </w:tc>
        <w:tc>
          <w:tcPr>
            <w:tcW w:w="13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  <w:tab w:val="left" w:pos="3828" w:leader="none"/>
                <w:tab w:val="left" w:pos="6096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de-DE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de-DE" w:eastAsia="en-US" w:bidi="ar-SA"/>
              </w:rPr>
              <w:t>[4]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>
          <w:sz w:val="4"/>
          <w:szCs w:val="4"/>
        </w:rPr>
      </w:pPr>
      <w:r>
        <w:rPr/>
      </w:r>
    </w:p>
    <w:sectPr>
      <w:type w:val="nextPage"/>
      <w:pgSz w:orient="landscape" w:w="16838" w:h="11906"/>
      <w:pgMar w:left="1134" w:right="1417" w:gutter="0" w:header="0" w:top="993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2f9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792f98"/>
    <w:pPr>
      <w:spacing w:before="0" w:after="160"/>
      <w:ind w:left="720" w:hanging="0"/>
      <w:contextualSpacing/>
    </w:pPr>
    <w:rPr/>
  </w:style>
  <w:style w:type="paragraph" w:styleId="Tabelleninhalt">
    <w:name w:val="Tabelleninhalt"/>
    <w:basedOn w:val="Normal"/>
    <w:qFormat/>
    <w:pPr>
      <w:widowControl w:val="false"/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792f9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LibreOffice/7.2.3.2$Windows_X86_64 LibreOffice_project/d166454616c1632304285822f9c83ce2e660fd92</Application>
  <AppVersion>15.0000</AppVersion>
  <Pages>4</Pages>
  <Words>662</Words>
  <Characters>5355</Characters>
  <CharactersWithSpaces>5988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2020-08-10T12:15:00Z</dcterms:created>
  <dc:creator>Wolfram</dc:creator>
  <dc:description/>
  <dc:language>de-DE</dc:language>
  <cp:lastModifiedBy/>
  <cp:lastPrinted>2020-01-28T19:17:00Z</cp:lastPrinted>
  <dcterms:modified xsi:type="dcterms:W3CDTF">2023-01-23T11:18:07Z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