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0E9D8" w14:textId="77777777" w:rsidR="00B774AD" w:rsidRDefault="00B774AD" w:rsidP="003E0776">
      <w:pPr>
        <w:pStyle w:val="Titel"/>
      </w:pPr>
      <w:r>
        <w:t>Geschichte der römischen Literatur und Gesellschaft</w:t>
      </w:r>
    </w:p>
    <w:p w14:paraId="27D7F297" w14:textId="08122335" w:rsidR="00B774AD" w:rsidRDefault="00B774AD" w:rsidP="00B97E79">
      <w:pPr>
        <w:pStyle w:val="StandardWeb"/>
      </w:pPr>
      <w:r>
        <w:t>Eine tabellarische Übersicht zur römischen Geschichte und Literaturgeschichte von den Anfängen bis in die Spätantike (4</w:t>
      </w:r>
      <w:r w:rsidR="002407D7">
        <w:t>1</w:t>
      </w:r>
      <w:r>
        <w:t>0 n. Chr.)</w:t>
      </w:r>
    </w:p>
    <w:p w14:paraId="20A039B0" w14:textId="102B4104" w:rsidR="003E0776" w:rsidRDefault="003E0776" w:rsidP="003E0776">
      <w:pPr>
        <w:pStyle w:val="berschrift2"/>
        <w:rPr>
          <w:rFonts w:ascii="Liberation Sans" w:hAnsi="Liberation Sans" w:cs="Liberation Sans"/>
          <w:i/>
          <w:iCs/>
          <w:sz w:val="32"/>
          <w:szCs w:val="32"/>
        </w:rPr>
      </w:pPr>
      <w:r>
        <w:rPr>
          <w:rFonts w:ascii="Liberation Sans" w:hAnsi="Liberation Sans" w:cs="Liberation Sans"/>
          <w:i/>
          <w:iCs/>
          <w:sz w:val="32"/>
          <w:szCs w:val="32"/>
        </w:rPr>
        <w:t xml:space="preserve">Dokument </w:t>
      </w:r>
      <w:r w:rsidR="00542655">
        <w:rPr>
          <w:rFonts w:ascii="Liberation Sans" w:hAnsi="Liberation Sans" w:cs="Liberation Sans"/>
          <w:i/>
          <w:iCs/>
          <w:sz w:val="32"/>
          <w:szCs w:val="32"/>
        </w:rPr>
        <w:t>5</w:t>
      </w:r>
      <w:r>
        <w:rPr>
          <w:rFonts w:ascii="Liberation Sans" w:hAnsi="Liberation Sans" w:cs="Liberation Sans"/>
          <w:i/>
          <w:iCs/>
          <w:sz w:val="32"/>
          <w:szCs w:val="32"/>
        </w:rPr>
        <w:t xml:space="preserve">: </w:t>
      </w:r>
      <w:r w:rsidR="00542655">
        <w:rPr>
          <w:rFonts w:ascii="Liberation Sans" w:hAnsi="Liberation Sans" w:cs="Liberation Sans"/>
          <w:i/>
          <w:iCs/>
          <w:sz w:val="32"/>
          <w:szCs w:val="32"/>
        </w:rPr>
        <w:t>69 n. Chr.</w:t>
      </w:r>
      <w:r>
        <w:rPr>
          <w:rFonts w:ascii="Liberation Sans" w:hAnsi="Liberation Sans" w:cs="Liberation Sans"/>
          <w:i/>
          <w:iCs/>
          <w:sz w:val="32"/>
          <w:szCs w:val="32"/>
        </w:rPr>
        <w:t xml:space="preserve"> bis </w:t>
      </w:r>
      <w:r w:rsidR="002407D7">
        <w:rPr>
          <w:rFonts w:ascii="Liberation Sans" w:hAnsi="Liberation Sans" w:cs="Liberation Sans"/>
          <w:i/>
          <w:iCs/>
          <w:sz w:val="32"/>
          <w:szCs w:val="32"/>
        </w:rPr>
        <w:t>235</w:t>
      </w:r>
      <w:r w:rsidR="00542655">
        <w:rPr>
          <w:rFonts w:ascii="Liberation Sans" w:hAnsi="Liberation Sans" w:cs="Liberation Sans"/>
          <w:i/>
          <w:iCs/>
          <w:sz w:val="32"/>
          <w:szCs w:val="32"/>
        </w:rPr>
        <w:t xml:space="preserve"> n</w:t>
      </w:r>
      <w:r>
        <w:rPr>
          <w:rFonts w:ascii="Liberation Sans" w:hAnsi="Liberation Sans" w:cs="Liberation Sans"/>
          <w:i/>
          <w:iCs/>
          <w:sz w:val="32"/>
          <w:szCs w:val="32"/>
        </w:rPr>
        <w:t xml:space="preserve">. Chr. – </w:t>
      </w:r>
      <w:r w:rsidR="002407D7">
        <w:rPr>
          <w:rFonts w:ascii="Liberation Sans" w:hAnsi="Liberation Sans" w:cs="Liberation Sans"/>
          <w:i/>
          <w:iCs/>
          <w:sz w:val="32"/>
          <w:szCs w:val="32"/>
        </w:rPr>
        <w:t>Von den Flaviern bis zu den Soldatenkaisern</w:t>
      </w:r>
    </w:p>
    <w:p w14:paraId="7BC5FBB8" w14:textId="77777777" w:rsidR="00B774AD" w:rsidRDefault="00B774AD" w:rsidP="00B97E79">
      <w:pPr>
        <w:pStyle w:val="StandardWeb"/>
      </w:pPr>
      <w:r>
        <w:t xml:space="preserve">Weitere Dokumente: </w:t>
      </w:r>
    </w:p>
    <w:p w14:paraId="7556A99E" w14:textId="77777777" w:rsidR="00B774AD" w:rsidRDefault="00B774AD">
      <w:pPr>
        <w:pStyle w:val="StandardWeb"/>
        <w:numPr>
          <w:ilvl w:val="0"/>
          <w:numId w:val="2"/>
        </w:numPr>
        <w:spacing w:after="0"/>
        <w:ind w:left="714" w:hanging="357"/>
      </w:pPr>
      <w:r>
        <w:t xml:space="preserve">Tabelle zur römischen Geschichte – vollständig, HTML, in den Seiten des Landesbildungsservers: </w:t>
      </w:r>
      <w:hyperlink r:id="rId7" w:history="1">
        <w:r>
          <w:rPr>
            <w:rStyle w:val="Hyperlink"/>
          </w:rPr>
          <w:t>www.schule-bw.de/faecher-und-schularten/sprachen-und-literatur/latein/antike-kultur/roemische-geschichte/daten/roemische-geschichte-tabelle.html</w:t>
        </w:r>
      </w:hyperlink>
      <w:r>
        <w:t xml:space="preserve"> </w:t>
      </w:r>
    </w:p>
    <w:p w14:paraId="18B60245" w14:textId="77777777" w:rsidR="00B774AD" w:rsidRDefault="00B774AD">
      <w:pPr>
        <w:pStyle w:val="StandardWeb"/>
        <w:numPr>
          <w:ilvl w:val="0"/>
          <w:numId w:val="2"/>
        </w:numPr>
        <w:spacing w:after="0"/>
        <w:ind w:left="714" w:hanging="357"/>
      </w:pPr>
      <w:r>
        <w:t xml:space="preserve">Download der Dokumente in den Formaten PDF, WORD und OpenOffice: </w:t>
      </w:r>
      <w:hyperlink r:id="rId8" w:history="1">
        <w:r>
          <w:rPr>
            <w:rStyle w:val="Hyperlink"/>
          </w:rPr>
          <w:t>www.schule-bw.de/faecher-und-schularten/sprachen-und-literatur/latein/antike-kultur/roemische-geschichte/downloadbereich</w:t>
        </w:r>
      </w:hyperlink>
      <w:r>
        <w:t xml:space="preserve"> </w:t>
      </w:r>
    </w:p>
    <w:p w14:paraId="1981CBE3" w14:textId="77777777" w:rsidR="00B774AD" w:rsidRDefault="00B774AD">
      <w:pPr>
        <w:pStyle w:val="StandardWeb"/>
        <w:numPr>
          <w:ilvl w:val="0"/>
          <w:numId w:val="2"/>
        </w:numPr>
        <w:spacing w:after="0"/>
        <w:ind w:left="714" w:hanging="357"/>
      </w:pPr>
      <w:r>
        <w:t xml:space="preserve">Die Daten, die in dieser Tabelle aufgelistet sind, entsprechen denen der </w:t>
      </w:r>
      <w:hyperlink r:id="rId9" w:history="1">
        <w:r>
          <w:rPr>
            <w:rStyle w:val="Hyperlink"/>
          </w:rPr>
          <w:t>interaktiven Zeitleiste zur römischen Geschichte und zur antiken Philosophie</w:t>
        </w:r>
      </w:hyperlink>
      <w:r>
        <w:t xml:space="preserve">. </w:t>
      </w:r>
    </w:p>
    <w:p w14:paraId="23778D7F" w14:textId="77777777" w:rsidR="00B774AD" w:rsidRDefault="00000000">
      <w:pPr>
        <w:pStyle w:val="StandardWeb"/>
        <w:numPr>
          <w:ilvl w:val="0"/>
          <w:numId w:val="2"/>
        </w:numPr>
        <w:spacing w:after="0"/>
        <w:ind w:left="714" w:hanging="357"/>
      </w:pPr>
      <w:hyperlink r:id="rId10" w:history="1">
        <w:r w:rsidR="00B774AD">
          <w:rPr>
            <w:rStyle w:val="Hyperlink"/>
          </w:rPr>
          <w:t>Methodische und didaktische Hinweise</w:t>
        </w:r>
      </w:hyperlink>
      <w:r w:rsidR="00B774AD">
        <w:t xml:space="preserve"> für Lehrkräfte </w:t>
      </w:r>
    </w:p>
    <w:p w14:paraId="3C7C064C" w14:textId="77777777" w:rsidR="00B774AD" w:rsidRDefault="00000000">
      <w:pPr>
        <w:pStyle w:val="StandardWeb"/>
        <w:numPr>
          <w:ilvl w:val="0"/>
          <w:numId w:val="2"/>
        </w:numPr>
        <w:spacing w:after="0"/>
        <w:ind w:left="714" w:hanging="357"/>
      </w:pPr>
      <w:hyperlink r:id="rId11" w:history="1">
        <w:r w:rsidR="00B774AD">
          <w:rPr>
            <w:rStyle w:val="Hyperlink"/>
          </w:rPr>
          <w:t>Interaktive Übungen</w:t>
        </w:r>
      </w:hyperlink>
      <w:r w:rsidR="00B774AD">
        <w:t xml:space="preserve"> </w:t>
      </w:r>
    </w:p>
    <w:p w14:paraId="3A73CC4D" w14:textId="70BAFCBF" w:rsidR="003E0776" w:rsidRDefault="00000000">
      <w:pPr>
        <w:pStyle w:val="StandardWeb"/>
        <w:numPr>
          <w:ilvl w:val="0"/>
          <w:numId w:val="2"/>
        </w:numPr>
        <w:spacing w:after="0"/>
        <w:ind w:left="714" w:hanging="357"/>
      </w:pPr>
      <w:hyperlink r:id="rId12" w:anchor="bp" w:history="1">
        <w:r w:rsidR="00B774AD">
          <w:rPr>
            <w:rStyle w:val="Hyperlink"/>
          </w:rPr>
          <w:t>Hinweise zum Bildungsplan</w:t>
        </w:r>
      </w:hyperlink>
      <w:r w:rsidR="00B774AD">
        <w:t xml:space="preserve"> </w:t>
      </w:r>
    </w:p>
    <w:p w14:paraId="0DDD1699" w14:textId="77777777" w:rsidR="00CD445B" w:rsidRDefault="00CD445B" w:rsidP="00CD445B">
      <w:pPr>
        <w:pStyle w:val="berschrift2"/>
        <w:spacing w:before="227"/>
        <w:rPr>
          <w:rFonts w:ascii="Liberation Sans" w:hAnsi="Liberation Sans" w:cs="Liberation Sans"/>
          <w:i/>
          <w:iCs/>
          <w:sz w:val="32"/>
          <w:szCs w:val="32"/>
        </w:rPr>
      </w:pPr>
      <w:proofErr w:type="spellStart"/>
      <w:r>
        <w:rPr>
          <w:rFonts w:ascii="Liberation Sans" w:hAnsi="Liberation Sans" w:cs="Liberation Sans"/>
          <w:i/>
          <w:iCs/>
          <w:sz w:val="32"/>
          <w:szCs w:val="32"/>
        </w:rPr>
        <w:t>Flavische</w:t>
      </w:r>
      <w:proofErr w:type="spellEnd"/>
      <w:r>
        <w:rPr>
          <w:rFonts w:ascii="Liberation Sans" w:hAnsi="Liberation Sans" w:cs="Liberation Sans"/>
          <w:i/>
          <w:iCs/>
          <w:sz w:val="32"/>
          <w:szCs w:val="32"/>
        </w:rPr>
        <w:t xml:space="preserve"> Kaiserdynastie (69 – 96 n. Chr.)</w:t>
      </w:r>
    </w:p>
    <w:p w14:paraId="75B8B1DD" w14:textId="77777777" w:rsidR="00CD445B" w:rsidRDefault="00CD445B" w:rsidP="00CD445B">
      <w:pPr>
        <w:pStyle w:val="berschrift3"/>
        <w:rPr>
          <w:rFonts w:ascii="Liberation Sans" w:hAnsi="Liberation Sans" w:cs="Liberation Sans"/>
          <w:sz w:val="28"/>
          <w:szCs w:val="28"/>
        </w:rPr>
      </w:pPr>
      <w:r>
        <w:rPr>
          <w:rFonts w:ascii="Liberation Sans" w:hAnsi="Liberation Sans" w:cs="Liberation Sans"/>
          <w:sz w:val="28"/>
          <w:szCs w:val="28"/>
        </w:rPr>
        <w:t>Politische Entwicklung und innere Ereignisse in Rom und Italien</w:t>
      </w:r>
    </w:p>
    <w:p w14:paraId="498C53A9" w14:textId="77777777" w:rsidR="00CD445B" w:rsidRDefault="00CD445B" w:rsidP="00CD445B">
      <w:pPr>
        <w:pStyle w:val="berschrift4"/>
        <w:rPr>
          <w:rFonts w:ascii="Liberation Serif" w:hAnsi="Liberation Serif" w:cs="Liberation Serif"/>
        </w:rPr>
      </w:pPr>
      <w:bookmarkStart w:id="0" w:name="4kaiser"/>
      <w:bookmarkEnd w:id="0"/>
      <w:r>
        <w:rPr>
          <w:rFonts w:ascii="Liberation Serif" w:hAnsi="Liberation Serif" w:cs="Liberation Serif"/>
        </w:rPr>
        <w:t>Vierkaiserjahr und Machtantritt des Kaisers Vespasian</w:t>
      </w:r>
    </w:p>
    <w:p w14:paraId="27725549" w14:textId="77777777" w:rsidR="00CD445B" w:rsidRDefault="00CD445B" w:rsidP="00CD445B">
      <w:pPr>
        <w:pStyle w:val="StandardWeb"/>
        <w:rPr>
          <w:rFonts w:ascii="Times New Roman" w:hAnsi="Times New Roman"/>
        </w:rPr>
      </w:pPr>
      <w:r>
        <w:t>69 n. Chr.</w:t>
      </w:r>
    </w:p>
    <w:p w14:paraId="683E91A8" w14:textId="77777777" w:rsidR="00CD445B" w:rsidRDefault="00CD445B" w:rsidP="00CD445B">
      <w:pPr>
        <w:pStyle w:val="StandardWeb"/>
      </w:pPr>
      <w:r>
        <w:t xml:space="preserve">Nach dem erzwungenen Selbstmord des Kaisers Nero entstehen im römischen Reich Unruhen, die dazu führen, dass vier verschiedene Kaiser um die Oberherrschaft ringen: Galba, </w:t>
      </w:r>
      <w:proofErr w:type="spellStart"/>
      <w:r>
        <w:t>Othius</w:t>
      </w:r>
      <w:proofErr w:type="spellEnd"/>
      <w:r>
        <w:t xml:space="preserve">, Vitellius und Vespasian. Letzterer setzt sich durch und regiert bis zu seinem Tod im Jahr 79 n. Chr. Vespasian begründet die Herrschaft der Familie der Flavier: Nach Vespasians Tod regieren seine Söhne </w:t>
      </w:r>
      <w:r>
        <w:rPr>
          <w:rStyle w:val="Fett"/>
        </w:rPr>
        <w:t>Titus</w:t>
      </w:r>
      <w:r>
        <w:t xml:space="preserve"> (von 79 n. Chr. bis 81 n. Chr.) und </w:t>
      </w:r>
      <w:r>
        <w:rPr>
          <w:rStyle w:val="Fett"/>
        </w:rPr>
        <w:t>Domitian</w:t>
      </w:r>
      <w:r>
        <w:t xml:space="preserve"> (von 81 n. Chr. bis 96 n. Chr.).</w:t>
      </w:r>
    </w:p>
    <w:p w14:paraId="4366C674" w14:textId="77777777" w:rsidR="00CD445B" w:rsidRDefault="00CD445B" w:rsidP="00CD445B">
      <w:pPr>
        <w:pStyle w:val="StandardWeb"/>
      </w:pPr>
      <w:hyperlink r:id="rId13" w:tgtFrame="_blank" w:history="1">
        <w:r>
          <w:rPr>
            <w:rStyle w:val="Hyperlink"/>
          </w:rPr>
          <w:t>Wikipe</w:t>
        </w:r>
        <w:r>
          <w:rPr>
            <w:rStyle w:val="Hyperlink"/>
          </w:rPr>
          <w:t>d</w:t>
        </w:r>
        <w:r>
          <w:rPr>
            <w:rStyle w:val="Hyperlink"/>
          </w:rPr>
          <w:t>ia</w:t>
        </w:r>
      </w:hyperlink>
      <w:r>
        <w:t xml:space="preserve"> über das Vierkaiserjahr</w:t>
      </w:r>
    </w:p>
    <w:p w14:paraId="58D8239C" w14:textId="77777777" w:rsidR="00CD445B" w:rsidRDefault="00CD445B" w:rsidP="00CD445B">
      <w:pPr>
        <w:pStyle w:val="berschrift4"/>
        <w:rPr>
          <w:rFonts w:ascii="Liberation Serif" w:hAnsi="Liberation Serif" w:cs="Liberation Serif"/>
        </w:rPr>
      </w:pPr>
      <w:bookmarkStart w:id="1" w:name="vesuv"/>
      <w:bookmarkEnd w:id="1"/>
      <w:r>
        <w:rPr>
          <w:rFonts w:ascii="Liberation Serif" w:hAnsi="Liberation Serif" w:cs="Liberation Serif"/>
        </w:rPr>
        <w:t xml:space="preserve">Ausbruch des Vesuvs und Zerstörung von </w:t>
      </w:r>
      <w:proofErr w:type="spellStart"/>
      <w:r>
        <w:rPr>
          <w:rFonts w:ascii="Liberation Serif" w:hAnsi="Liberation Serif" w:cs="Liberation Serif"/>
        </w:rPr>
        <w:t>Pompeii</w:t>
      </w:r>
      <w:proofErr w:type="spellEnd"/>
      <w:r>
        <w:rPr>
          <w:rFonts w:ascii="Liberation Serif" w:hAnsi="Liberation Serif" w:cs="Liberation Serif"/>
        </w:rPr>
        <w:t xml:space="preserve"> und Herculaneum</w:t>
      </w:r>
    </w:p>
    <w:p w14:paraId="76DAFED8" w14:textId="77777777" w:rsidR="00CD445B" w:rsidRDefault="00CD445B" w:rsidP="00CD445B">
      <w:pPr>
        <w:pStyle w:val="StandardWeb"/>
        <w:rPr>
          <w:rFonts w:ascii="Times New Roman" w:hAnsi="Times New Roman"/>
        </w:rPr>
      </w:pPr>
      <w:r>
        <w:t>Oktober 79 n. Chr.</w:t>
      </w:r>
    </w:p>
    <w:p w14:paraId="4A6FA93E" w14:textId="77777777" w:rsidR="00CD445B" w:rsidRDefault="00CD445B" w:rsidP="00CD445B">
      <w:pPr>
        <w:pStyle w:val="StandardWeb"/>
      </w:pPr>
      <w:r>
        <w:t xml:space="preserve">Im Oktober 79 n. Chr. zerstört ein enormer Ausbruchs des Vulkans Vesuv die Städte </w:t>
      </w:r>
      <w:proofErr w:type="spellStart"/>
      <w:r>
        <w:t>Pompeii</w:t>
      </w:r>
      <w:proofErr w:type="spellEnd"/>
      <w:r>
        <w:t xml:space="preserve"> und Herculaneum. Der Schriftsteller Plinius beschreibt den Vesuvausbruch, den er als Augenzeuge miterlebte, in einem Brief an den Historiker Tacitus.</w:t>
      </w:r>
    </w:p>
    <w:p w14:paraId="38BC8445" w14:textId="77777777" w:rsidR="00CD445B" w:rsidRDefault="00CD445B" w:rsidP="00CD445B">
      <w:pPr>
        <w:pStyle w:val="StandardWeb"/>
      </w:pPr>
      <w:r>
        <w:lastRenderedPageBreak/>
        <w:t>Linkvorschläge:</w:t>
      </w:r>
    </w:p>
    <w:p w14:paraId="332B0F41" w14:textId="77777777" w:rsidR="00CD445B" w:rsidRDefault="00CD445B" w:rsidP="00CD445B">
      <w:pPr>
        <w:pStyle w:val="StandardWeb"/>
        <w:numPr>
          <w:ilvl w:val="0"/>
          <w:numId w:val="20"/>
        </w:numPr>
        <w:spacing w:before="100" w:beforeAutospacing="1" w:after="0"/>
      </w:pPr>
      <w:r>
        <w:t xml:space="preserve">Lektüreeinheit: Plinius, Vesuv-Briefe, bei </w:t>
      </w:r>
      <w:hyperlink r:id="rId14" w:tgtFrame="_blank" w:history="1">
        <w:r>
          <w:rPr>
            <w:rStyle w:val="Hyperlink"/>
          </w:rPr>
          <w:t>latein-unterri</w:t>
        </w:r>
        <w:r>
          <w:rPr>
            <w:rStyle w:val="Hyperlink"/>
          </w:rPr>
          <w:t>c</w:t>
        </w:r>
        <w:r>
          <w:rPr>
            <w:rStyle w:val="Hyperlink"/>
          </w:rPr>
          <w:t>hten.de</w:t>
        </w:r>
      </w:hyperlink>
      <w:r>
        <w:t xml:space="preserve"> (Ulf Jesper, mit Grafiken von Meike Schlemmer) </w:t>
      </w:r>
    </w:p>
    <w:p w14:paraId="15F4EF55" w14:textId="77777777" w:rsidR="00CD445B" w:rsidRDefault="00CD445B" w:rsidP="00CD445B">
      <w:pPr>
        <w:pStyle w:val="StandardWeb"/>
        <w:numPr>
          <w:ilvl w:val="0"/>
          <w:numId w:val="20"/>
        </w:numPr>
        <w:spacing w:before="100" w:beforeAutospacing="1" w:after="0"/>
      </w:pPr>
      <w:r>
        <w:t xml:space="preserve">Lektüreeinheit: Plinius, Vesuv-Briefe, beim </w:t>
      </w:r>
      <w:hyperlink r:id="rId15" w:tgtFrame="_blank" w:history="1">
        <w:r>
          <w:rPr>
            <w:rStyle w:val="Hyperlink"/>
          </w:rPr>
          <w:t>Lehrerfortbildungsserver</w:t>
        </w:r>
      </w:hyperlink>
      <w:r>
        <w:t xml:space="preserve"> </w:t>
      </w:r>
    </w:p>
    <w:p w14:paraId="708E44A0" w14:textId="77777777" w:rsidR="00CD445B" w:rsidRDefault="00CD445B" w:rsidP="00CD445B">
      <w:pPr>
        <w:pStyle w:val="StandardWeb"/>
        <w:numPr>
          <w:ilvl w:val="0"/>
          <w:numId w:val="20"/>
        </w:numPr>
        <w:spacing w:before="100" w:beforeAutospacing="1" w:after="0"/>
      </w:pPr>
      <w:r>
        <w:t xml:space="preserve">Über die Erforschung des Vesuvausbruchs und über die Erkenntnisse, die man aus den Ausgrabungen über die antiken Städte gewonnen hat, informiert ein Dokumentarfilm, der in der Reihe </w:t>
      </w:r>
      <w:proofErr w:type="spellStart"/>
      <w:r>
        <w:t>TerraX</w:t>
      </w:r>
      <w:proofErr w:type="spellEnd"/>
      <w:r>
        <w:t xml:space="preserve"> in der </w:t>
      </w:r>
      <w:hyperlink r:id="rId16" w:tgtFrame="_blank" w:history="1">
        <w:r>
          <w:rPr>
            <w:rStyle w:val="Hyperlink"/>
          </w:rPr>
          <w:t>ZDF-Mediathek</w:t>
        </w:r>
      </w:hyperlink>
      <w:r>
        <w:t xml:space="preserve"> angesehen werden kann (Dauer: 43 Minuten). </w:t>
      </w:r>
    </w:p>
    <w:p w14:paraId="1CEBA989" w14:textId="77777777" w:rsidR="00CD445B" w:rsidRDefault="00CD445B" w:rsidP="00CD445B">
      <w:pPr>
        <w:pStyle w:val="StandardWeb"/>
        <w:numPr>
          <w:ilvl w:val="0"/>
          <w:numId w:val="20"/>
        </w:numPr>
        <w:spacing w:before="100" w:beforeAutospacing="1" w:after="142"/>
      </w:pPr>
      <w:hyperlink r:id="rId17" w:tgtFrame="_blank" w:history="1">
        <w:r>
          <w:rPr>
            <w:rStyle w:val="Hyperlink"/>
          </w:rPr>
          <w:t xml:space="preserve">Wikipedia über </w:t>
        </w:r>
        <w:proofErr w:type="spellStart"/>
        <w:r>
          <w:rPr>
            <w:rStyle w:val="Hyperlink"/>
          </w:rPr>
          <w:t>Pompeii</w:t>
        </w:r>
        <w:proofErr w:type="spellEnd"/>
      </w:hyperlink>
      <w:r>
        <w:t xml:space="preserve"> </w:t>
      </w:r>
    </w:p>
    <w:p w14:paraId="17D3A68B" w14:textId="77777777" w:rsidR="00CD445B" w:rsidRDefault="00CD445B" w:rsidP="00CD445B">
      <w:pPr>
        <w:pStyle w:val="berschrift4"/>
        <w:rPr>
          <w:rFonts w:ascii="Liberation Serif" w:hAnsi="Liberation Serif" w:cs="Liberation Serif"/>
        </w:rPr>
      </w:pPr>
      <w:bookmarkStart w:id="2" w:name="domitian"/>
      <w:bookmarkEnd w:id="2"/>
      <w:r>
        <w:rPr>
          <w:rFonts w:ascii="Liberation Serif" w:hAnsi="Liberation Serif" w:cs="Liberation Serif"/>
        </w:rPr>
        <w:t>Domitian ist Kaiser</w:t>
      </w:r>
    </w:p>
    <w:p w14:paraId="2DA8D7B2" w14:textId="77777777" w:rsidR="00CD445B" w:rsidRDefault="00CD445B" w:rsidP="00CD445B">
      <w:pPr>
        <w:pStyle w:val="StandardWeb"/>
        <w:rPr>
          <w:rFonts w:ascii="Times New Roman" w:hAnsi="Times New Roman"/>
        </w:rPr>
      </w:pPr>
      <w:r>
        <w:t>81 n. Chr. – 96 n. Chr.</w:t>
      </w:r>
    </w:p>
    <w:p w14:paraId="4167A028" w14:textId="77777777" w:rsidR="00CD445B" w:rsidRDefault="00CD445B" w:rsidP="00CD445B">
      <w:pPr>
        <w:pStyle w:val="StandardWeb"/>
      </w:pPr>
      <w:r>
        <w:t xml:space="preserve">In seinen </w:t>
      </w:r>
      <w:proofErr w:type="spellStart"/>
      <w:r>
        <w:rPr>
          <w:rStyle w:val="Hervorhebung"/>
        </w:rPr>
        <w:t>Historiae</w:t>
      </w:r>
      <w:proofErr w:type="spellEnd"/>
      <w:r>
        <w:t xml:space="preserve"> zeichnet der Historiker </w:t>
      </w:r>
      <w:hyperlink w:anchor="tacitus" w:history="1">
        <w:r>
          <w:rPr>
            <w:rStyle w:val="Hyperlink"/>
          </w:rPr>
          <w:t>↓ Taci</w:t>
        </w:r>
        <w:r>
          <w:rPr>
            <w:rStyle w:val="Hyperlink"/>
          </w:rPr>
          <w:t>t</w:t>
        </w:r>
        <w:r>
          <w:rPr>
            <w:rStyle w:val="Hyperlink"/>
          </w:rPr>
          <w:t>us ↓</w:t>
        </w:r>
      </w:hyperlink>
      <w:r>
        <w:t xml:space="preserve"> ein negatives Bild von Kaiser Domitian. Nach Kaiser Titus' Tod im Jahr 81 kommt sein Bruder Domitian an die Macht. Domitian führt gegen die Chatten Krieg, einen germanischen Stamm. Domitian wird teilweise als sachlich und rational beschrieben, von Tacitus aber als grausam. Er steht in unversöhnlichem Konflikt mit dem Senat und wird schließlich ermordet.</w:t>
      </w:r>
    </w:p>
    <w:p w14:paraId="3F77E5DD" w14:textId="77777777" w:rsidR="00CD445B" w:rsidRDefault="00CD445B" w:rsidP="00CD445B">
      <w:pPr>
        <w:pStyle w:val="berschrift3"/>
        <w:rPr>
          <w:rFonts w:ascii="Liberation Sans" w:hAnsi="Liberation Sans" w:cs="Liberation Sans"/>
          <w:sz w:val="28"/>
          <w:szCs w:val="28"/>
        </w:rPr>
      </w:pPr>
      <w:r>
        <w:rPr>
          <w:rFonts w:ascii="Liberation Sans" w:hAnsi="Liberation Sans" w:cs="Liberation Sans"/>
          <w:sz w:val="28"/>
          <w:szCs w:val="28"/>
        </w:rPr>
        <w:t>Konflikte mit anderen Völkern</w:t>
      </w:r>
    </w:p>
    <w:p w14:paraId="75BA2620" w14:textId="77777777" w:rsidR="00CD445B" w:rsidRDefault="00CD445B" w:rsidP="00CD445B">
      <w:pPr>
        <w:pStyle w:val="berschrift4"/>
        <w:rPr>
          <w:rFonts w:ascii="Liberation Serif" w:hAnsi="Liberation Serif" w:cs="Liberation Serif"/>
        </w:rPr>
      </w:pPr>
      <w:bookmarkStart w:id="3" w:name="juedischerkrieg"/>
      <w:bookmarkEnd w:id="3"/>
      <w:r>
        <w:rPr>
          <w:rFonts w:ascii="Liberation Serif" w:hAnsi="Liberation Serif" w:cs="Liberation Serif"/>
        </w:rPr>
        <w:t>Jüdischer Krieg – Aufstand gegen die römische Herrschaft in Judäa</w:t>
      </w:r>
    </w:p>
    <w:p w14:paraId="01558779" w14:textId="77777777" w:rsidR="00CD445B" w:rsidRDefault="00CD445B" w:rsidP="00CD445B">
      <w:pPr>
        <w:pStyle w:val="StandardWeb"/>
        <w:rPr>
          <w:rFonts w:ascii="Times New Roman" w:hAnsi="Times New Roman"/>
        </w:rPr>
      </w:pPr>
      <w:r>
        <w:t>66 n. Chr. – 70 n. Chr.</w:t>
      </w:r>
    </w:p>
    <w:p w14:paraId="493AEB86" w14:textId="77777777" w:rsidR="00CD445B" w:rsidRDefault="00CD445B" w:rsidP="00CD445B">
      <w:pPr>
        <w:pStyle w:val="StandardWeb"/>
      </w:pPr>
      <w:r>
        <w:t>Im Jahr 66 n. Chr. beginnt ein Aufstand, der 70 n. Chr. mit der Zerstörung Jerusalems unter dem späteren Kaiser Titus und auch der Zerstörung des Tempels beendet wird. Das Zentrum des religiösen Lebens ist damit vernichtet. Ein erheblicher Teil der jüdischen Bevölkerung wird in diesem Krieg getötet, viele Juden wandern aus (Diaspora). An die Eroberung Jerusalems erinnert der Titusbogen auf dem Forum Romanum.</w:t>
      </w:r>
    </w:p>
    <w:p w14:paraId="746A40DB" w14:textId="77777777" w:rsidR="00CD445B" w:rsidRDefault="00CD445B" w:rsidP="00CD445B">
      <w:pPr>
        <w:pStyle w:val="StandardWeb"/>
      </w:pPr>
      <w:r>
        <w:t xml:space="preserve">Zum Titusbogen auf dem Forum Romanum, der den Triumph des Titus darstellt, gibt es ein </w:t>
      </w:r>
      <w:hyperlink r:id="rId18" w:tgtFrame="_blank" w:history="1">
        <w:r>
          <w:rPr>
            <w:rStyle w:val="Hyperlink"/>
          </w:rPr>
          <w:t>Arbeitsblatt</w:t>
        </w:r>
      </w:hyperlink>
      <w:r>
        <w:t xml:space="preserve"> mit Interpretationsaufgaben.</w:t>
      </w:r>
    </w:p>
    <w:p w14:paraId="2B46FA4F" w14:textId="754F5B00" w:rsidR="00CD445B" w:rsidRDefault="00CD445B" w:rsidP="00CD445B">
      <w:pPr>
        <w:pStyle w:val="StandardWeb"/>
        <w:pageBreakBefore/>
        <w:jc w:val="right"/>
      </w:pPr>
      <w:r>
        <w:rPr>
          <w:noProof/>
        </w:rPr>
        <w:lastRenderedPageBreak/>
        <w:drawing>
          <wp:anchor distT="47625" distB="47625" distL="66675" distR="66675" simplePos="0" relativeHeight="251658240" behindDoc="0" locked="0" layoutInCell="1" allowOverlap="0" wp14:anchorId="0D91117D" wp14:editId="6D1D723F">
            <wp:simplePos x="0" y="0"/>
            <wp:positionH relativeFrom="column">
              <wp:posOffset>-52070</wp:posOffset>
            </wp:positionH>
            <wp:positionV relativeFrom="line">
              <wp:posOffset>79375</wp:posOffset>
            </wp:positionV>
            <wp:extent cx="4435475" cy="3330575"/>
            <wp:effectExtent l="0" t="0" r="3175" b="3175"/>
            <wp:wrapSquare wrapText="bothSides"/>
            <wp:docPr id="8" name="Grafik 8" descr="Ein Bild, das draußen, Rock, Natur, Höhl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draußen, Rock, Natur, Höhle enthält.&#10;&#10;Automatisch generierte Beschreibu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5475" cy="3330575"/>
                    </a:xfrm>
                    <a:prstGeom prst="rect">
                      <a:avLst/>
                    </a:prstGeom>
                    <a:noFill/>
                    <a:ln>
                      <a:noFill/>
                    </a:ln>
                  </pic:spPr>
                </pic:pic>
              </a:graphicData>
            </a:graphic>
            <wp14:sizeRelH relativeFrom="page">
              <wp14:pctWidth>0</wp14:pctWidth>
            </wp14:sizeRelH>
            <wp14:sizeRelV relativeFrom="page">
              <wp14:pctHeight>0</wp14:pctHeight>
            </wp14:sizeRelV>
          </wp:anchor>
        </w:drawing>
      </w:r>
      <w:r>
        <w:t>Linkvorschläge:</w:t>
      </w:r>
    </w:p>
    <w:p w14:paraId="5CFD8024" w14:textId="399B6A99" w:rsidR="00CD445B" w:rsidRDefault="00CD445B" w:rsidP="00CD445B">
      <w:pPr>
        <w:pStyle w:val="StandardWeb"/>
        <w:spacing w:after="0" w:line="240" w:lineRule="auto"/>
        <w:ind w:left="1724" w:hanging="454"/>
      </w:pPr>
      <w:r>
        <w:t xml:space="preserve">Wikipedia: </w:t>
      </w:r>
      <w:hyperlink r:id="rId20" w:tgtFrame="_blank" w:history="1">
        <w:r>
          <w:rPr>
            <w:rStyle w:val="Hyperlink"/>
          </w:rPr>
          <w:t>Jüdischer Krieg</w:t>
        </w:r>
      </w:hyperlink>
      <w:r>
        <w:t xml:space="preserve"> </w:t>
      </w:r>
    </w:p>
    <w:p w14:paraId="1A555470" w14:textId="77777777" w:rsidR="00CD445B" w:rsidRDefault="00CD445B" w:rsidP="00CD445B">
      <w:pPr>
        <w:pStyle w:val="StandardWeb"/>
        <w:spacing w:after="0" w:line="240" w:lineRule="auto"/>
        <w:ind w:left="1724" w:hanging="454"/>
      </w:pPr>
    </w:p>
    <w:p w14:paraId="0429BDF2" w14:textId="287972E9" w:rsidR="00CD445B" w:rsidRDefault="00CD445B" w:rsidP="00CD445B">
      <w:pPr>
        <w:pStyle w:val="StandardWeb"/>
        <w:spacing w:after="0" w:line="240" w:lineRule="auto"/>
        <w:ind w:left="1440" w:hanging="170"/>
      </w:pPr>
      <w:r>
        <w:t xml:space="preserve">Zeittafel zum Jüdischen Krieg auf </w:t>
      </w:r>
      <w:hyperlink r:id="rId21" w:tgtFrame="_blank" w:history="1">
        <w:r>
          <w:rPr>
            <w:rStyle w:val="Hyperlink"/>
          </w:rPr>
          <w:t>Hagalil.com</w:t>
        </w:r>
      </w:hyperlink>
      <w:r>
        <w:t xml:space="preserve"> </w:t>
      </w:r>
    </w:p>
    <w:p w14:paraId="1BDAF2A5" w14:textId="77777777" w:rsidR="00CD445B" w:rsidRDefault="00CD445B" w:rsidP="00CD445B">
      <w:pPr>
        <w:pStyle w:val="StandardWeb"/>
        <w:spacing w:after="0" w:line="240" w:lineRule="auto"/>
        <w:ind w:hanging="170"/>
      </w:pPr>
    </w:p>
    <w:p w14:paraId="21BEE2C8" w14:textId="77777777" w:rsidR="00CD445B" w:rsidRPr="00CD445B" w:rsidRDefault="00CD445B" w:rsidP="00CD445B">
      <w:pPr>
        <w:pStyle w:val="StandardWeb"/>
        <w:spacing w:before="102" w:after="102" w:line="240" w:lineRule="auto"/>
        <w:rPr>
          <w:sz w:val="20"/>
          <w:szCs w:val="20"/>
        </w:rPr>
      </w:pPr>
      <w:r w:rsidRPr="00CD445B">
        <w:rPr>
          <w:rFonts w:cs="Arial"/>
          <w:i/>
          <w:iCs/>
          <w:sz w:val="20"/>
          <w:szCs w:val="20"/>
        </w:rPr>
        <w:t>Das Foto zeigt ein Relief, das in der Innenseite des Bogens angebracht ist und auf dem der Triumphzug dargestellt ist, in dem die Beute aus dem eroberten und zerstörten Jerusalem durch Rom getragen wird. Deutlich erkennt man den siebenarmigen Leuchter (die Menora).</w:t>
      </w:r>
    </w:p>
    <w:p w14:paraId="3002BC99" w14:textId="77777777" w:rsidR="00CD445B" w:rsidRDefault="00CD445B" w:rsidP="00CD445B">
      <w:pPr>
        <w:pStyle w:val="berschrift3"/>
        <w:rPr>
          <w:rFonts w:ascii="Liberation Sans" w:hAnsi="Liberation Sans" w:cs="Liberation Sans"/>
          <w:sz w:val="28"/>
          <w:szCs w:val="28"/>
        </w:rPr>
      </w:pPr>
    </w:p>
    <w:p w14:paraId="425B5F1D" w14:textId="77777777" w:rsidR="00CD445B" w:rsidRDefault="00CD445B" w:rsidP="00CD445B">
      <w:pPr>
        <w:pStyle w:val="berschrift3"/>
        <w:rPr>
          <w:rFonts w:ascii="Liberation Sans" w:hAnsi="Liberation Sans" w:cs="Liberation Sans"/>
          <w:sz w:val="28"/>
          <w:szCs w:val="28"/>
        </w:rPr>
      </w:pPr>
    </w:p>
    <w:p w14:paraId="6BDB0A3D" w14:textId="77777777" w:rsidR="00CD445B" w:rsidRDefault="00CD445B" w:rsidP="00CD445B">
      <w:pPr>
        <w:pStyle w:val="berschrift3"/>
        <w:rPr>
          <w:rFonts w:ascii="Liberation Sans" w:hAnsi="Liberation Sans" w:cs="Liberation Sans"/>
          <w:sz w:val="28"/>
          <w:szCs w:val="28"/>
        </w:rPr>
      </w:pPr>
    </w:p>
    <w:p w14:paraId="121DA61C" w14:textId="77777777" w:rsidR="00CD445B" w:rsidRDefault="00CD445B" w:rsidP="00CD445B">
      <w:pPr>
        <w:pStyle w:val="berschrift3"/>
        <w:rPr>
          <w:rFonts w:ascii="Liberation Sans" w:hAnsi="Liberation Sans" w:cs="Liberation Sans"/>
          <w:sz w:val="28"/>
          <w:szCs w:val="28"/>
        </w:rPr>
      </w:pPr>
    </w:p>
    <w:p w14:paraId="330EDB30" w14:textId="4D24A6BE" w:rsidR="00CD445B" w:rsidRDefault="00CD445B" w:rsidP="00CD445B">
      <w:pPr>
        <w:pStyle w:val="berschrift3"/>
        <w:rPr>
          <w:rFonts w:ascii="Liberation Sans" w:hAnsi="Liberation Sans" w:cs="Liberation Sans"/>
          <w:sz w:val="28"/>
          <w:szCs w:val="28"/>
        </w:rPr>
      </w:pPr>
      <w:r>
        <w:rPr>
          <w:rFonts w:ascii="Liberation Sans" w:hAnsi="Liberation Sans" w:cs="Liberation Sans"/>
          <w:sz w:val="28"/>
          <w:szCs w:val="28"/>
        </w:rPr>
        <w:t>Philosophie und Literatur</w:t>
      </w:r>
    </w:p>
    <w:p w14:paraId="5BFB93AE" w14:textId="77777777" w:rsidR="00CD445B" w:rsidRDefault="00CD445B" w:rsidP="00CD445B">
      <w:pPr>
        <w:pStyle w:val="StandardWeb"/>
        <w:rPr>
          <w:rFonts w:ascii="Times New Roman" w:hAnsi="Times New Roman"/>
          <w:sz w:val="24"/>
        </w:rPr>
      </w:pPr>
      <w:r>
        <w:t xml:space="preserve">Die Zeit der Flavier war für die Literatur nicht besonders produktiv; der Historiker </w:t>
      </w:r>
      <w:hyperlink w:anchor="tacitus" w:history="1">
        <w:r>
          <w:rPr>
            <w:rStyle w:val="Hyperlink"/>
          </w:rPr>
          <w:t>↓ Tacitus ↓</w:t>
        </w:r>
      </w:hyperlink>
      <w:r>
        <w:t xml:space="preserve"> beginnt erst nach dem Tod des letzten Vertreters dieser Kaiserdynastie, Domitian, seine Werke zu verfassen.</w:t>
      </w:r>
    </w:p>
    <w:p w14:paraId="5D5D72D8" w14:textId="77777777" w:rsidR="00CD445B" w:rsidRDefault="00CD445B" w:rsidP="00CD445B">
      <w:pPr>
        <w:pStyle w:val="berschrift4"/>
        <w:rPr>
          <w:rFonts w:ascii="Liberation Serif" w:hAnsi="Liberation Serif" w:cs="Liberation Serif"/>
        </w:rPr>
      </w:pPr>
      <w:bookmarkStart w:id="4" w:name="martial"/>
      <w:bookmarkEnd w:id="4"/>
      <w:r>
        <w:rPr>
          <w:rFonts w:ascii="Liberation Serif" w:hAnsi="Liberation Serif" w:cs="Liberation Serif"/>
        </w:rPr>
        <w:t>Martial tritt als Dichter auf.</w:t>
      </w:r>
    </w:p>
    <w:p w14:paraId="650BB33D" w14:textId="77777777" w:rsidR="00CD445B" w:rsidRDefault="00CD445B" w:rsidP="00CD445B">
      <w:pPr>
        <w:pStyle w:val="StandardWeb"/>
        <w:rPr>
          <w:rFonts w:ascii="Times New Roman" w:hAnsi="Times New Roman"/>
        </w:rPr>
      </w:pPr>
      <w:r>
        <w:t>um 80 n. Chr.</w:t>
      </w:r>
    </w:p>
    <w:p w14:paraId="0CE82526" w14:textId="77777777" w:rsidR="00CD445B" w:rsidRDefault="00CD445B" w:rsidP="00CD445B">
      <w:pPr>
        <w:pStyle w:val="StandardWeb"/>
      </w:pPr>
      <w:r>
        <w:t xml:space="preserve">Martial (Marcus Valerius </w:t>
      </w:r>
      <w:proofErr w:type="spellStart"/>
      <w:r>
        <w:t>Martialis</w:t>
      </w:r>
      <w:proofErr w:type="spellEnd"/>
      <w:r>
        <w:t>, ca. 40 n. Chr. - 104 n. Chr.) schreibt die meisten seiner bekannten Epigramme zur Regierungszeit des Kaisers Domitian.</w:t>
      </w:r>
    </w:p>
    <w:p w14:paraId="40E5CB31" w14:textId="77777777" w:rsidR="00CD445B" w:rsidRDefault="00CD445B" w:rsidP="00CD445B">
      <w:pPr>
        <w:pStyle w:val="StandardWeb"/>
      </w:pPr>
      <w:r>
        <w:t>Lektüreeinheiten zu Martial:</w:t>
      </w:r>
    </w:p>
    <w:p w14:paraId="4AB0ECF8" w14:textId="77777777" w:rsidR="00CD445B" w:rsidRDefault="00CD445B" w:rsidP="00CD445B">
      <w:pPr>
        <w:pStyle w:val="StandardWeb"/>
        <w:numPr>
          <w:ilvl w:val="0"/>
          <w:numId w:val="23"/>
        </w:numPr>
        <w:spacing w:before="100" w:beforeAutospacing="1" w:after="0"/>
      </w:pPr>
      <w:hyperlink r:id="rId22" w:tgtFrame="_blank" w:history="1">
        <w:r>
          <w:rPr>
            <w:rStyle w:val="Hyperlink"/>
          </w:rPr>
          <w:t>Lehrerfortbildungsserver</w:t>
        </w:r>
      </w:hyperlink>
      <w:r>
        <w:t xml:space="preserve">, Download der Textsammlung (10 Seiten, WORD und PDF) am Ende des Dokuments. </w:t>
      </w:r>
    </w:p>
    <w:p w14:paraId="007FBB97" w14:textId="77777777" w:rsidR="00CD445B" w:rsidRDefault="00CD445B" w:rsidP="00CD445B">
      <w:pPr>
        <w:pStyle w:val="StandardWeb"/>
        <w:numPr>
          <w:ilvl w:val="0"/>
          <w:numId w:val="23"/>
        </w:numPr>
        <w:spacing w:before="100" w:beforeAutospacing="1" w:after="142"/>
      </w:pPr>
      <w:r>
        <w:t xml:space="preserve">Martial – </w:t>
      </w:r>
      <w:proofErr w:type="spellStart"/>
      <w:r>
        <w:t>Epigrammata</w:t>
      </w:r>
      <w:proofErr w:type="spellEnd"/>
      <w:r>
        <w:t xml:space="preserve">. Wie setzt man eine Pointe? </w:t>
      </w:r>
      <w:hyperlink r:id="rId23" w:tgtFrame="_blank" w:history="1">
        <w:r>
          <w:rPr>
            <w:rStyle w:val="Hyperlink"/>
          </w:rPr>
          <w:t>latein-unterrichten.de</w:t>
        </w:r>
      </w:hyperlink>
      <w:r>
        <w:t xml:space="preserve"> (Ulf Jesper) </w:t>
      </w:r>
    </w:p>
    <w:p w14:paraId="3F4C4CFF" w14:textId="77777777" w:rsidR="00CD445B" w:rsidRDefault="00CD445B" w:rsidP="00CD445B">
      <w:pPr>
        <w:pStyle w:val="berschrift2"/>
        <w:rPr>
          <w:rFonts w:ascii="Liberation Sans" w:hAnsi="Liberation Sans" w:cs="Liberation Sans"/>
          <w:i/>
          <w:iCs/>
          <w:sz w:val="32"/>
          <w:szCs w:val="32"/>
        </w:rPr>
      </w:pPr>
      <w:bookmarkStart w:id="5" w:name="adoptivkaiser"/>
      <w:bookmarkEnd w:id="5"/>
      <w:r>
        <w:rPr>
          <w:rFonts w:ascii="Liberation Sans" w:hAnsi="Liberation Sans" w:cs="Liberation Sans"/>
          <w:i/>
          <w:iCs/>
          <w:sz w:val="32"/>
          <w:szCs w:val="32"/>
        </w:rPr>
        <w:t>Zeitalter der Adoptivkaiser (98 – 180 n. Chr.)</w:t>
      </w:r>
    </w:p>
    <w:p w14:paraId="6D32B4DE" w14:textId="77777777" w:rsidR="00CD445B" w:rsidRDefault="00CD445B" w:rsidP="00CD445B">
      <w:pPr>
        <w:pStyle w:val="StandardWeb"/>
        <w:rPr>
          <w:rFonts w:ascii="Times New Roman" w:hAnsi="Times New Roman"/>
          <w:sz w:val="24"/>
        </w:rPr>
      </w:pPr>
      <w:r>
        <w:t xml:space="preserve">Nach Domitians Ermordung bestimmt für 84 Jahre nicht mehr die Erbfolge, wie in einer klassischen Monarchie, die Nachfolge eines Kaisers. Vielmehr adoptieren die Kaiser die von ihnen ausgewählten Nachfolger, so dass nach ihrem Tod ein geregelter Übergang gesichert ist. Der erste Kaiser in dieser Reihe ist </w:t>
      </w:r>
      <w:proofErr w:type="spellStart"/>
      <w:r>
        <w:t>Nerva</w:t>
      </w:r>
      <w:proofErr w:type="spellEnd"/>
      <w:r>
        <w:t>, der von 96 bis 98 regiert. Er adoptiert seinen Nachfolger Trajan, einen Senator. Der Konflikt zwischen Kaiserhof und Senat, der in den Jahrzehnten zuvor zu inneren Unruhen geführt hatte, ließ sich auf diese Weise abmildern.</w:t>
      </w:r>
    </w:p>
    <w:p w14:paraId="4D5192F9" w14:textId="77777777" w:rsidR="00CD445B" w:rsidRDefault="00CD445B" w:rsidP="00CD445B">
      <w:pPr>
        <w:pStyle w:val="berschrift4"/>
        <w:rPr>
          <w:rFonts w:ascii="Liberation Serif" w:hAnsi="Liberation Serif" w:cs="Liberation Serif"/>
        </w:rPr>
      </w:pPr>
      <w:r>
        <w:rPr>
          <w:rFonts w:ascii="Liberation Serif" w:hAnsi="Liberation Serif" w:cs="Liberation Serif"/>
        </w:rPr>
        <w:lastRenderedPageBreak/>
        <w:t>Politische Entwicklung; Ereignisse in Rom und Italien</w:t>
      </w:r>
    </w:p>
    <w:p w14:paraId="4D802AB4" w14:textId="77777777" w:rsidR="00CD445B" w:rsidRDefault="00CD445B" w:rsidP="00CD445B">
      <w:pPr>
        <w:pStyle w:val="berschrift4"/>
        <w:rPr>
          <w:rFonts w:ascii="Liberation Serif" w:hAnsi="Liberation Serif" w:cs="Liberation Serif"/>
        </w:rPr>
      </w:pPr>
      <w:bookmarkStart w:id="6" w:name="trajan"/>
      <w:bookmarkEnd w:id="6"/>
      <w:r>
        <w:rPr>
          <w:rFonts w:ascii="Liberation Serif" w:hAnsi="Liberation Serif" w:cs="Liberation Serif"/>
        </w:rPr>
        <w:t>Trajan ist Kaiser</w:t>
      </w:r>
    </w:p>
    <w:p w14:paraId="48F329D6" w14:textId="77777777" w:rsidR="00CD445B" w:rsidRDefault="00CD445B" w:rsidP="00CD445B">
      <w:pPr>
        <w:pStyle w:val="StandardWeb"/>
        <w:rPr>
          <w:rFonts w:ascii="Times New Roman" w:hAnsi="Times New Roman"/>
        </w:rPr>
      </w:pPr>
      <w:r>
        <w:t>98 – 117 n. Chr.</w:t>
      </w:r>
    </w:p>
    <w:p w14:paraId="3398C68B" w14:textId="77777777" w:rsidR="00CD445B" w:rsidRDefault="00CD445B" w:rsidP="00CD445B">
      <w:pPr>
        <w:pStyle w:val="StandardWeb"/>
      </w:pPr>
      <w:r>
        <w:t xml:space="preserve">Trajan (geb. 53 n. Chr.) gilt als relativ liberaler Kaiser. Überliefert ist sein Briefwechsel mit </w:t>
      </w:r>
      <w:hyperlink w:anchor="plinius" w:history="1">
        <w:r>
          <w:rPr>
            <w:rStyle w:val="Hyperlink"/>
          </w:rPr>
          <w:t>↓ Plinius d. J. ↓</w:t>
        </w:r>
      </w:hyperlink>
    </w:p>
    <w:p w14:paraId="07058722" w14:textId="77777777" w:rsidR="00CD445B" w:rsidRDefault="00CD445B" w:rsidP="00CD445B">
      <w:pPr>
        <w:pStyle w:val="berschrift4"/>
        <w:rPr>
          <w:rFonts w:ascii="Liberation Serif" w:hAnsi="Liberation Serif" w:cs="Liberation Serif"/>
        </w:rPr>
      </w:pPr>
      <w:bookmarkStart w:id="7" w:name="marcaurel"/>
      <w:bookmarkEnd w:id="7"/>
      <w:r>
        <w:rPr>
          <w:rFonts w:ascii="Liberation Serif" w:hAnsi="Liberation Serif" w:cs="Liberation Serif"/>
        </w:rPr>
        <w:t>Marc Aurel ist Kaiser</w:t>
      </w:r>
    </w:p>
    <w:p w14:paraId="7A1DE583" w14:textId="77777777" w:rsidR="00CD445B" w:rsidRDefault="00CD445B" w:rsidP="00CD445B">
      <w:pPr>
        <w:pStyle w:val="StandardWeb"/>
        <w:rPr>
          <w:rFonts w:ascii="Times New Roman" w:hAnsi="Times New Roman"/>
        </w:rPr>
      </w:pPr>
      <w:r>
        <w:t>161 – 180 n. Chr.</w:t>
      </w:r>
    </w:p>
    <w:p w14:paraId="67FABB56" w14:textId="77777777" w:rsidR="00CD445B" w:rsidRDefault="00CD445B" w:rsidP="00CD445B">
      <w:pPr>
        <w:pStyle w:val="StandardWeb"/>
      </w:pPr>
      <w:r>
        <w:t>Ähnlich wie vor ihm Cicero und Seneca ist Marc Aurel sowohl Politiker als auch Philosoph; er orientiert sich in seinen in griechischer Sprache verfassten „Selbstbetrachtungen“ (</w:t>
      </w:r>
      <w:hyperlink r:id="rId24" w:tgtFrame="_blank" w:history="1">
        <w:r>
          <w:rPr>
            <w:rStyle w:val="Hyperlink"/>
          </w:rPr>
          <w:t>Wikipedia</w:t>
        </w:r>
      </w:hyperlink>
      <w:r>
        <w:t>) an der Philosophenschule der Stoa.</w:t>
      </w:r>
    </w:p>
    <w:p w14:paraId="18F1D00D" w14:textId="77777777" w:rsidR="00CD445B" w:rsidRDefault="00CD445B" w:rsidP="00CD445B">
      <w:pPr>
        <w:pStyle w:val="StandardWeb"/>
      </w:pPr>
      <w:r>
        <w:t xml:space="preserve">Er führte Kriege gegen die Markomannen und die Parther und sicherte die Grenzen des Imperiums auch durch persönlichen Einsatz als Feldherr. In die Zeit seiner Herrschaft fiel die nach ihm benannte </w:t>
      </w:r>
      <w:proofErr w:type="spellStart"/>
      <w:r>
        <w:t>Antoninische</w:t>
      </w:r>
      <w:proofErr w:type="spellEnd"/>
      <w:r>
        <w:t xml:space="preserve"> Pest. Marc Aurel begann, die Herrschaft unter mehrere Personen aufzuteilen, indem er einen Mitregenten, Lucius </w:t>
      </w:r>
      <w:proofErr w:type="spellStart"/>
      <w:r>
        <w:t>Verus</w:t>
      </w:r>
      <w:proofErr w:type="spellEnd"/>
      <w:r>
        <w:t>, benannte, der z. B. in Parthien Krieg führte.</w:t>
      </w:r>
      <w:r>
        <w:br/>
        <w:t>In Marc Aurels Herrschaftszeit fallen auch Christenverfolgungen.</w:t>
      </w:r>
    </w:p>
    <w:p w14:paraId="0FC7353A" w14:textId="77777777" w:rsidR="00CD445B" w:rsidRDefault="00CD445B" w:rsidP="00CD445B">
      <w:pPr>
        <w:pStyle w:val="berschrift4"/>
        <w:rPr>
          <w:rFonts w:ascii="Liberation Serif" w:hAnsi="Liberation Serif" w:cs="Liberation Serif"/>
        </w:rPr>
      </w:pPr>
      <w:bookmarkStart w:id="8" w:name="pandemie"/>
      <w:bookmarkEnd w:id="8"/>
      <w:proofErr w:type="spellStart"/>
      <w:r>
        <w:rPr>
          <w:rFonts w:ascii="Liberation Serif" w:hAnsi="Liberation Serif" w:cs="Liberation Serif"/>
        </w:rPr>
        <w:t>Antoninische</w:t>
      </w:r>
      <w:proofErr w:type="spellEnd"/>
      <w:r>
        <w:rPr>
          <w:rFonts w:ascii="Liberation Serif" w:hAnsi="Liberation Serif" w:cs="Liberation Serif"/>
        </w:rPr>
        <w:t xml:space="preserve"> Pest</w:t>
      </w:r>
    </w:p>
    <w:p w14:paraId="6851B5E1" w14:textId="77777777" w:rsidR="00CD445B" w:rsidRDefault="00CD445B" w:rsidP="00CD445B">
      <w:pPr>
        <w:pStyle w:val="StandardWeb"/>
        <w:rPr>
          <w:rFonts w:ascii="Times New Roman" w:hAnsi="Times New Roman"/>
        </w:rPr>
      </w:pPr>
      <w:r>
        <w:t>165 – 180 n. Chr.</w:t>
      </w:r>
    </w:p>
    <w:p w14:paraId="21BB6157" w14:textId="77777777" w:rsidR="00CD445B" w:rsidRDefault="00CD445B" w:rsidP="00CD445B">
      <w:pPr>
        <w:pStyle w:val="StandardWeb"/>
      </w:pPr>
      <w:r>
        <w:t xml:space="preserve">Eine Pandemie sucht das römische Reich und viele angrenzende Gebiete Ende des 2. Jh. n. Chr. heim. Um was für eine </w:t>
      </w:r>
      <w:proofErr w:type="spellStart"/>
      <w:r>
        <w:t>Krankeit</w:t>
      </w:r>
      <w:proofErr w:type="spellEnd"/>
      <w:r>
        <w:t xml:space="preserve"> es sich handelte, ist nicht sicher. Nach den Beschreibungen des Arztes Galen (Galenos von Pergamon, 129 – 216) kann es sich um entweder um die Pocken oder um eine Masernepidemie gehandelt haben. Da diese Pandemie auch das römische Heer angreift, gerät die römische Herrschaft in Gefahr. Kaiser Marc Aurel (der sich selbst Marcus Aurelius </w:t>
      </w:r>
      <w:r>
        <w:rPr>
          <w:rStyle w:val="Hervorhebung"/>
        </w:rPr>
        <w:t>Antoninus</w:t>
      </w:r>
      <w:r>
        <w:t xml:space="preserve"> Augustus nannte, daher der Name dieser Pandemie) versucht der Gefahr u. a. durch Quarantänemaßnahmen zu begegnen.</w:t>
      </w:r>
    </w:p>
    <w:p w14:paraId="2C920FF6" w14:textId="77777777" w:rsidR="00CD445B" w:rsidRDefault="00CD445B" w:rsidP="00CD445B">
      <w:pPr>
        <w:pStyle w:val="StandardWeb"/>
      </w:pPr>
      <w:r>
        <w:t xml:space="preserve">Linkempfehlung: „Corona und die </w:t>
      </w:r>
      <w:proofErr w:type="spellStart"/>
      <w:r>
        <w:t>Antoninische</w:t>
      </w:r>
      <w:proofErr w:type="spellEnd"/>
      <w:r>
        <w:t xml:space="preserve"> Pest. Maßnahmen zur Eindämmung einer Epidemie im Römischen Reich“, bei </w:t>
      </w:r>
      <w:hyperlink r:id="rId25" w:tgtFrame="_blank" w:history="1">
        <w:r>
          <w:rPr>
            <w:rStyle w:val="Hyperlink"/>
          </w:rPr>
          <w:t xml:space="preserve">Der </w:t>
        </w:r>
        <w:r>
          <w:rPr>
            <w:rStyle w:val="Hyperlink"/>
          </w:rPr>
          <w:t>S</w:t>
        </w:r>
        <w:r>
          <w:rPr>
            <w:rStyle w:val="Hyperlink"/>
          </w:rPr>
          <w:t>tandard</w:t>
        </w:r>
      </w:hyperlink>
      <w:r>
        <w:t>, Wien, März 2020; Autor: Stefan Groh.</w:t>
      </w:r>
    </w:p>
    <w:p w14:paraId="7A7B2389" w14:textId="77777777" w:rsidR="00CD445B" w:rsidRDefault="00CD445B" w:rsidP="00CD445B">
      <w:pPr>
        <w:pStyle w:val="StandardWeb"/>
      </w:pPr>
      <w:r>
        <w:t xml:space="preserve">Siehe auch: </w:t>
      </w:r>
      <w:hyperlink r:id="rId26" w:tgtFrame="_blank" w:history="1">
        <w:r>
          <w:rPr>
            <w:rStyle w:val="Hyperlink"/>
          </w:rPr>
          <w:t>Wikipedia</w:t>
        </w:r>
      </w:hyperlink>
      <w:r>
        <w:t>.</w:t>
      </w:r>
    </w:p>
    <w:p w14:paraId="610F306F" w14:textId="77777777" w:rsidR="00CD445B" w:rsidRDefault="00CD445B" w:rsidP="00CD445B">
      <w:pPr>
        <w:pStyle w:val="berschrift3"/>
        <w:rPr>
          <w:rFonts w:ascii="Liberation Sans" w:hAnsi="Liberation Sans" w:cs="Liberation Sans"/>
          <w:sz w:val="28"/>
          <w:szCs w:val="28"/>
        </w:rPr>
      </w:pPr>
      <w:r>
        <w:rPr>
          <w:rFonts w:ascii="Liberation Sans" w:hAnsi="Liberation Sans" w:cs="Liberation Sans"/>
          <w:sz w:val="28"/>
          <w:szCs w:val="28"/>
        </w:rPr>
        <w:t>Konflikte mit anderen Völkern</w:t>
      </w:r>
    </w:p>
    <w:p w14:paraId="1EC2014C" w14:textId="77777777" w:rsidR="00CD445B" w:rsidRDefault="00CD445B" w:rsidP="00CD445B">
      <w:pPr>
        <w:pStyle w:val="berschrift4"/>
        <w:rPr>
          <w:rFonts w:ascii="Liberation Serif" w:hAnsi="Liberation Serif" w:cs="Liberation Serif"/>
        </w:rPr>
      </w:pPr>
      <w:r>
        <w:rPr>
          <w:rFonts w:ascii="Liberation Serif" w:hAnsi="Liberation Serif" w:cs="Liberation Serif"/>
        </w:rPr>
        <w:t>Feldzüge des Trajan</w:t>
      </w:r>
    </w:p>
    <w:p w14:paraId="13B87476" w14:textId="77777777" w:rsidR="00CD445B" w:rsidRDefault="00CD445B" w:rsidP="00CD445B">
      <w:pPr>
        <w:pStyle w:val="StandardWeb"/>
        <w:rPr>
          <w:rFonts w:ascii="Times New Roman" w:hAnsi="Times New Roman"/>
        </w:rPr>
      </w:pPr>
      <w:r>
        <w:t>Unter Trajans Herrschaft erreicht das römische Reich seine größte Ausdehnung. Er erobert Dakien (etwa das heutige Rumänien) und macht es zur Provinz, schließt Arabia als römische Provinz in das Imperium ein und führt einen Krieg gegen die Parther.</w:t>
      </w:r>
    </w:p>
    <w:p w14:paraId="6BFEF7BD" w14:textId="77777777" w:rsidR="00CD445B" w:rsidRDefault="00CD445B">
      <w:pPr>
        <w:spacing w:after="0" w:line="240" w:lineRule="auto"/>
        <w:rPr>
          <w:rFonts w:ascii="Liberation Serif" w:hAnsi="Liberation Serif" w:cs="Liberation Serif"/>
          <w:b/>
          <w:bCs/>
        </w:rPr>
      </w:pPr>
      <w:bookmarkStart w:id="9" w:name="barkochba"/>
      <w:bookmarkEnd w:id="9"/>
      <w:r>
        <w:rPr>
          <w:rFonts w:ascii="Liberation Serif" w:hAnsi="Liberation Serif" w:cs="Liberation Serif"/>
        </w:rPr>
        <w:br w:type="page"/>
      </w:r>
    </w:p>
    <w:p w14:paraId="2658A105" w14:textId="167A46E8" w:rsidR="00CD445B" w:rsidRDefault="00CD445B" w:rsidP="00CD445B">
      <w:pPr>
        <w:pStyle w:val="berschrift4"/>
        <w:rPr>
          <w:rFonts w:ascii="Liberation Serif" w:hAnsi="Liberation Serif" w:cs="Liberation Serif"/>
        </w:rPr>
      </w:pPr>
      <w:r>
        <w:rPr>
          <w:rFonts w:ascii="Liberation Serif" w:hAnsi="Liberation Serif" w:cs="Liberation Serif"/>
        </w:rPr>
        <w:lastRenderedPageBreak/>
        <w:t xml:space="preserve">Aufstand des Bar </w:t>
      </w:r>
      <w:proofErr w:type="spellStart"/>
      <w:r>
        <w:rPr>
          <w:rFonts w:ascii="Liberation Serif" w:hAnsi="Liberation Serif" w:cs="Liberation Serif"/>
        </w:rPr>
        <w:t>Kochba</w:t>
      </w:r>
      <w:proofErr w:type="spellEnd"/>
    </w:p>
    <w:p w14:paraId="3126019A" w14:textId="77777777" w:rsidR="00CD445B" w:rsidRDefault="00CD445B" w:rsidP="00CD445B">
      <w:pPr>
        <w:pStyle w:val="StandardWeb"/>
        <w:rPr>
          <w:rFonts w:ascii="Times New Roman" w:hAnsi="Times New Roman"/>
        </w:rPr>
      </w:pPr>
      <w:r>
        <w:t>130 n. Chr.</w:t>
      </w:r>
    </w:p>
    <w:p w14:paraId="1A18410C" w14:textId="77777777" w:rsidR="00CD445B" w:rsidRDefault="00CD445B" w:rsidP="00CD445B">
      <w:pPr>
        <w:pStyle w:val="StandardWeb"/>
      </w:pPr>
      <w:r>
        <w:t xml:space="preserve">Nach dem Besuch des Kaisers Hadrian in der römischen Provinz Judäa im Jahr 130 n. Chr. wächst der Unmut der jüdischen Bevölkerung in Judäa. Simon bar </w:t>
      </w:r>
      <w:proofErr w:type="spellStart"/>
      <w:r>
        <w:t>Kochba</w:t>
      </w:r>
      <w:proofErr w:type="spellEnd"/>
      <w:r>
        <w:t xml:space="preserve"> (auch Schimon bar </w:t>
      </w:r>
      <w:proofErr w:type="spellStart"/>
      <w:r>
        <w:t>Kochiba</w:t>
      </w:r>
      <w:proofErr w:type="spellEnd"/>
      <w:r>
        <w:t xml:space="preserve"> oder </w:t>
      </w:r>
      <w:proofErr w:type="spellStart"/>
      <w:r>
        <w:t>Schimeon</w:t>
      </w:r>
      <w:proofErr w:type="spellEnd"/>
      <w:r>
        <w:t xml:space="preserve"> ha-</w:t>
      </w:r>
      <w:proofErr w:type="spellStart"/>
      <w:r>
        <w:t>Nassi</w:t>
      </w:r>
      <w:proofErr w:type="spellEnd"/>
      <w:r>
        <w:t xml:space="preserve"> [Simon, Prinz von Israel]) wird zum Anführer eines Aufstandes des jüdischen Volkes, der in einen jahrelangen Guerillakrieges mündet. Der Krieg endet mit einer völligen Niederlage der Aufständischen. Die Verluste an der Bevölkerung gingen vermutlich in die Hunderttausende. Eines der Resultate dieser Niederlage ist die Zerstreuung der Juden in viele Länder des Mittelmeerraums und Europas, die auch als Diaspora bezeichnet wird.</w:t>
      </w:r>
    </w:p>
    <w:p w14:paraId="2F842381" w14:textId="77777777" w:rsidR="00CD445B" w:rsidRDefault="00CD445B" w:rsidP="00CD445B">
      <w:pPr>
        <w:pStyle w:val="StandardWeb"/>
      </w:pPr>
      <w:r>
        <w:t>Linkempfehlungen:</w:t>
      </w:r>
    </w:p>
    <w:p w14:paraId="7B52E3E7" w14:textId="77777777" w:rsidR="00CD445B" w:rsidRDefault="00CD445B" w:rsidP="00CD445B">
      <w:pPr>
        <w:pStyle w:val="StandardWeb"/>
        <w:numPr>
          <w:ilvl w:val="0"/>
          <w:numId w:val="24"/>
        </w:numPr>
        <w:spacing w:before="100" w:beforeAutospacing="1" w:after="0"/>
      </w:pPr>
      <w:r>
        <w:t>Der Bar-</w:t>
      </w:r>
      <w:proofErr w:type="spellStart"/>
      <w:r>
        <w:t>Kochba</w:t>
      </w:r>
      <w:proofErr w:type="spellEnd"/>
      <w:r>
        <w:t xml:space="preserve">-Aufstand, </w:t>
      </w:r>
      <w:hyperlink r:id="rId27" w:tgtFrame="_blank" w:history="1">
        <w:r>
          <w:rPr>
            <w:rStyle w:val="Hyperlink"/>
          </w:rPr>
          <w:t>Artikel bei Hagalil.com</w:t>
        </w:r>
      </w:hyperlink>
      <w:r>
        <w:t xml:space="preserve"> </w:t>
      </w:r>
    </w:p>
    <w:p w14:paraId="35FDFF2B" w14:textId="77777777" w:rsidR="00CD445B" w:rsidRDefault="00CD445B" w:rsidP="00CD445B">
      <w:pPr>
        <w:pStyle w:val="StandardWeb"/>
        <w:numPr>
          <w:ilvl w:val="0"/>
          <w:numId w:val="24"/>
        </w:numPr>
        <w:spacing w:before="100" w:beforeAutospacing="1" w:after="0"/>
      </w:pPr>
      <w:r>
        <w:t xml:space="preserve">Zeittafel bei </w:t>
      </w:r>
      <w:hyperlink r:id="rId28" w:tgtFrame="_blank" w:history="1">
        <w:r>
          <w:rPr>
            <w:rStyle w:val="Hyperlink"/>
          </w:rPr>
          <w:t>Hagalil.com</w:t>
        </w:r>
      </w:hyperlink>
      <w:r>
        <w:t xml:space="preserve"> </w:t>
      </w:r>
    </w:p>
    <w:p w14:paraId="6C32DDF9" w14:textId="77777777" w:rsidR="00CD445B" w:rsidRDefault="00CD445B" w:rsidP="00CD445B">
      <w:pPr>
        <w:pStyle w:val="StandardWeb"/>
        <w:numPr>
          <w:ilvl w:val="0"/>
          <w:numId w:val="24"/>
        </w:numPr>
        <w:spacing w:before="100" w:beforeAutospacing="1" w:after="0"/>
      </w:pPr>
      <w:r>
        <w:t xml:space="preserve">Artikel bei der </w:t>
      </w:r>
      <w:hyperlink r:id="rId29" w:tgtFrame="_blank" w:history="1">
        <w:r>
          <w:rPr>
            <w:rStyle w:val="Hyperlink"/>
          </w:rPr>
          <w:t>Wikipedia</w:t>
        </w:r>
      </w:hyperlink>
      <w:r>
        <w:t xml:space="preserve"> </w:t>
      </w:r>
    </w:p>
    <w:p w14:paraId="767A92FD" w14:textId="77777777" w:rsidR="00CD445B" w:rsidRDefault="00CD445B" w:rsidP="00CD445B">
      <w:pPr>
        <w:pStyle w:val="StandardWeb"/>
        <w:numPr>
          <w:ilvl w:val="0"/>
          <w:numId w:val="24"/>
        </w:numPr>
        <w:spacing w:before="100" w:beforeAutospacing="1" w:after="142"/>
      </w:pPr>
      <w:r>
        <w:t xml:space="preserve">Artikel bei </w:t>
      </w:r>
      <w:hyperlink r:id="rId30" w:tgtFrame="_blank" w:history="1">
        <w:r>
          <w:rPr>
            <w:rStyle w:val="Hyperlink"/>
          </w:rPr>
          <w:t>Planet Wissen: Diaspora</w:t>
        </w:r>
      </w:hyperlink>
      <w:r>
        <w:t xml:space="preserve"> </w:t>
      </w:r>
    </w:p>
    <w:p w14:paraId="5765E5BA" w14:textId="77777777" w:rsidR="00CD445B" w:rsidRDefault="00CD445B" w:rsidP="00CD445B">
      <w:pPr>
        <w:pStyle w:val="berschrift4"/>
        <w:rPr>
          <w:rFonts w:ascii="Liberation Serif" w:hAnsi="Liberation Serif" w:cs="Liberation Serif"/>
        </w:rPr>
      </w:pPr>
      <w:r>
        <w:rPr>
          <w:rFonts w:ascii="Liberation Serif" w:hAnsi="Liberation Serif" w:cs="Liberation Serif"/>
        </w:rPr>
        <w:t>Krieg gegen die Parther</w:t>
      </w:r>
    </w:p>
    <w:p w14:paraId="7B2AE71C" w14:textId="77777777" w:rsidR="00CD445B" w:rsidRDefault="00CD445B" w:rsidP="00CD445B">
      <w:pPr>
        <w:pStyle w:val="StandardWeb"/>
        <w:rPr>
          <w:rFonts w:ascii="Times New Roman" w:hAnsi="Times New Roman"/>
        </w:rPr>
      </w:pPr>
      <w:r>
        <w:t>161 – 166 n. Chr.</w:t>
      </w:r>
    </w:p>
    <w:p w14:paraId="37F11582" w14:textId="77777777" w:rsidR="00CD445B" w:rsidRDefault="00CD445B" w:rsidP="00CD445B">
      <w:pPr>
        <w:pStyle w:val="StandardWeb"/>
      </w:pPr>
      <w:r>
        <w:t xml:space="preserve">Den Krieg gegen die Parther führte vor allem Marc Aurels Mitregent Lucius </w:t>
      </w:r>
      <w:proofErr w:type="spellStart"/>
      <w:r>
        <w:t>Verus</w:t>
      </w:r>
      <w:proofErr w:type="spellEnd"/>
      <w:r>
        <w:t>.</w:t>
      </w:r>
    </w:p>
    <w:p w14:paraId="36D2EB47" w14:textId="77777777" w:rsidR="00CD445B" w:rsidRDefault="00CD445B" w:rsidP="00CD445B">
      <w:pPr>
        <w:pStyle w:val="StandardWeb"/>
      </w:pPr>
      <w:r>
        <w:t xml:space="preserve">Linkvorschlag: </w:t>
      </w:r>
      <w:hyperlink r:id="rId31" w:tgtFrame="_blank" w:history="1">
        <w:r>
          <w:rPr>
            <w:rStyle w:val="Hyperlink"/>
          </w:rPr>
          <w:t xml:space="preserve">Wikipedia über den </w:t>
        </w:r>
        <w:proofErr w:type="spellStart"/>
        <w:r>
          <w:rPr>
            <w:rStyle w:val="Hyperlink"/>
          </w:rPr>
          <w:t>Partherkrieg</w:t>
        </w:r>
        <w:proofErr w:type="spellEnd"/>
        <w:r>
          <w:rPr>
            <w:rStyle w:val="Hyperlink"/>
          </w:rPr>
          <w:t xml:space="preserve"> des Lucius </w:t>
        </w:r>
        <w:proofErr w:type="spellStart"/>
        <w:r>
          <w:rPr>
            <w:rStyle w:val="Hyperlink"/>
          </w:rPr>
          <w:t>Verus</w:t>
        </w:r>
        <w:proofErr w:type="spellEnd"/>
      </w:hyperlink>
    </w:p>
    <w:p w14:paraId="5498CE78" w14:textId="77777777" w:rsidR="00CD445B" w:rsidRDefault="00CD445B" w:rsidP="00CD445B">
      <w:pPr>
        <w:pStyle w:val="berschrift4"/>
        <w:rPr>
          <w:rFonts w:ascii="Liberation Serif" w:hAnsi="Liberation Serif" w:cs="Liberation Serif"/>
        </w:rPr>
      </w:pPr>
      <w:proofErr w:type="spellStart"/>
      <w:r>
        <w:rPr>
          <w:rFonts w:ascii="Liberation Serif" w:hAnsi="Liberation Serif" w:cs="Liberation Serif"/>
        </w:rPr>
        <w:t>Markomannenkriege</w:t>
      </w:r>
      <w:proofErr w:type="spellEnd"/>
    </w:p>
    <w:p w14:paraId="0535BCF8" w14:textId="77777777" w:rsidR="00CD445B" w:rsidRDefault="00CD445B" w:rsidP="00CD445B">
      <w:pPr>
        <w:pStyle w:val="StandardWeb"/>
        <w:rPr>
          <w:rFonts w:ascii="Times New Roman" w:hAnsi="Times New Roman"/>
        </w:rPr>
      </w:pPr>
      <w:r>
        <w:t>166 – 180 n. Chr.</w:t>
      </w:r>
    </w:p>
    <w:p w14:paraId="799F34BB" w14:textId="77777777" w:rsidR="00CD445B" w:rsidRDefault="00CD445B" w:rsidP="00CD445B">
      <w:pPr>
        <w:pStyle w:val="StandardWeb"/>
      </w:pPr>
      <w:r>
        <w:t>Kaiser Marc Aurel führt beinahe 15 Jahre lang Kriege gegen verschiedene germanische Stämme, u. a. den der Markomannen, die die Donau von Osten überqueren und zeitweilig bis weit nach Italien vordringen.</w:t>
      </w:r>
    </w:p>
    <w:p w14:paraId="6BB6E470" w14:textId="77777777" w:rsidR="00CD445B" w:rsidRDefault="00CD445B" w:rsidP="00CD445B">
      <w:pPr>
        <w:pStyle w:val="StandardWeb"/>
      </w:pPr>
      <w:r>
        <w:t xml:space="preserve">Linkvorschlag: </w:t>
      </w:r>
      <w:hyperlink r:id="rId32" w:tgtFrame="_blank" w:history="1">
        <w:r>
          <w:rPr>
            <w:rStyle w:val="Hyperlink"/>
          </w:rPr>
          <w:t xml:space="preserve">Wikipedia über die </w:t>
        </w:r>
        <w:proofErr w:type="spellStart"/>
        <w:r>
          <w:rPr>
            <w:rStyle w:val="Hyperlink"/>
          </w:rPr>
          <w:t>Markomannenkriege</w:t>
        </w:r>
        <w:proofErr w:type="spellEnd"/>
      </w:hyperlink>
    </w:p>
    <w:p w14:paraId="62669C4A" w14:textId="77777777" w:rsidR="00CD445B" w:rsidRDefault="00CD445B" w:rsidP="00CD445B">
      <w:pPr>
        <w:pStyle w:val="berschrift3"/>
        <w:rPr>
          <w:rFonts w:ascii="Liberation Sans" w:hAnsi="Liberation Sans" w:cs="Liberation Sans"/>
          <w:sz w:val="28"/>
          <w:szCs w:val="28"/>
        </w:rPr>
      </w:pPr>
      <w:r>
        <w:rPr>
          <w:rFonts w:ascii="Liberation Sans" w:hAnsi="Liberation Sans" w:cs="Liberation Sans"/>
          <w:sz w:val="28"/>
          <w:szCs w:val="28"/>
        </w:rPr>
        <w:t>Philosophie und Literatur</w:t>
      </w:r>
    </w:p>
    <w:p w14:paraId="1586A99D" w14:textId="77777777" w:rsidR="00CD445B" w:rsidRDefault="00CD445B" w:rsidP="00CD445B">
      <w:pPr>
        <w:pStyle w:val="berschrift4"/>
        <w:rPr>
          <w:rFonts w:ascii="Liberation Serif" w:hAnsi="Liberation Serif" w:cs="Liberation Serif"/>
        </w:rPr>
      </w:pPr>
      <w:bookmarkStart w:id="10" w:name="tacitus"/>
      <w:bookmarkEnd w:id="10"/>
      <w:r>
        <w:rPr>
          <w:rFonts w:ascii="Liberation Serif" w:hAnsi="Liberation Serif" w:cs="Liberation Serif"/>
        </w:rPr>
        <w:t>Tacitus schreibt seine Geschichtswerke</w:t>
      </w:r>
    </w:p>
    <w:p w14:paraId="6A25A0A2" w14:textId="77777777" w:rsidR="00CD445B" w:rsidRDefault="00CD445B" w:rsidP="00CD445B">
      <w:pPr>
        <w:pStyle w:val="StandardWeb"/>
        <w:rPr>
          <w:rFonts w:ascii="Times New Roman" w:hAnsi="Times New Roman"/>
        </w:rPr>
      </w:pPr>
      <w:r>
        <w:t>97 – 120 n. Chr.</w:t>
      </w:r>
    </w:p>
    <w:p w14:paraId="40905452" w14:textId="77777777" w:rsidR="00CD445B" w:rsidRDefault="00CD445B" w:rsidP="00CD445B">
      <w:pPr>
        <w:pStyle w:val="StandardWeb"/>
      </w:pPr>
      <w:r>
        <w:t xml:space="preserve">Tacitus ist ein römischer Geschichtsschreiber. Lebensdaten: ca. 58 n. Chr. –120 n. Chr. In seinen Werken versucht Tacitus die Möglichkeiten der Schriftstellerei unter der Herrschaftsform des </w:t>
      </w:r>
      <w:proofErr w:type="spellStart"/>
      <w:r>
        <w:t>Principats</w:t>
      </w:r>
      <w:proofErr w:type="spellEnd"/>
      <w:r>
        <w:t xml:space="preserve"> zu erfassen. Seine Perspektive ist die des Senats, dem er sich zeitlebens zugehörig fühlt, wobei er aber mit der senatorischen Opposition gegen Nero nicht sympathisiert.</w:t>
      </w:r>
    </w:p>
    <w:p w14:paraId="7BFFB616" w14:textId="77777777" w:rsidR="00CD445B" w:rsidRDefault="00CD445B" w:rsidP="00CD445B">
      <w:pPr>
        <w:pStyle w:val="StandardWeb"/>
      </w:pPr>
      <w:r>
        <w:t xml:space="preserve">Als Ideal des Historikers stellt er Wahrheitsliebe und Unparteilichkeit heraus; siehe die Vorworte zu den </w:t>
      </w:r>
      <w:proofErr w:type="spellStart"/>
      <w:r>
        <w:t>Historiae</w:t>
      </w:r>
      <w:proofErr w:type="spellEnd"/>
      <w:r>
        <w:t xml:space="preserve"> und den Annales.</w:t>
      </w:r>
    </w:p>
    <w:p w14:paraId="1BF96434" w14:textId="77777777" w:rsidR="00CD445B" w:rsidRDefault="00CD445B" w:rsidP="00CD445B">
      <w:pPr>
        <w:pStyle w:val="StandardWeb"/>
      </w:pPr>
      <w:r>
        <w:t>Unter Kaiser Trajan war Tacitus Konsul.</w:t>
      </w:r>
    </w:p>
    <w:p w14:paraId="4985DC42" w14:textId="77777777" w:rsidR="00CD445B" w:rsidRDefault="00CD445B" w:rsidP="00CD445B">
      <w:pPr>
        <w:pStyle w:val="StandardWeb"/>
      </w:pPr>
      <w:r>
        <w:lastRenderedPageBreak/>
        <w:t>Werke:</w:t>
      </w:r>
    </w:p>
    <w:p w14:paraId="2F5FA0C0" w14:textId="77777777" w:rsidR="00CD445B" w:rsidRDefault="00CD445B" w:rsidP="00CD445B">
      <w:pPr>
        <w:pStyle w:val="StandardWeb"/>
        <w:numPr>
          <w:ilvl w:val="0"/>
          <w:numId w:val="25"/>
        </w:numPr>
        <w:spacing w:before="100" w:beforeAutospacing="1" w:after="0"/>
      </w:pPr>
      <w:r>
        <w:rPr>
          <w:rStyle w:val="Hervorhebung"/>
        </w:rPr>
        <w:t>Agricola</w:t>
      </w:r>
      <w:r>
        <w:t xml:space="preserve"> (De </w:t>
      </w:r>
      <w:proofErr w:type="spellStart"/>
      <w:r>
        <w:t>vita</w:t>
      </w:r>
      <w:proofErr w:type="spellEnd"/>
      <w:r>
        <w:t xml:space="preserve"> et </w:t>
      </w:r>
      <w:proofErr w:type="spellStart"/>
      <w:r>
        <w:t>moribus</w:t>
      </w:r>
      <w:proofErr w:type="spellEnd"/>
      <w:r>
        <w:t xml:space="preserve"> </w:t>
      </w:r>
      <w:proofErr w:type="spellStart"/>
      <w:r>
        <w:t>Iulii</w:t>
      </w:r>
      <w:proofErr w:type="spellEnd"/>
      <w:r>
        <w:t xml:space="preserve"> </w:t>
      </w:r>
      <w:proofErr w:type="spellStart"/>
      <w:r>
        <w:t>Agricolae</w:t>
      </w:r>
      <w:proofErr w:type="spellEnd"/>
      <w:r>
        <w:t xml:space="preserve">). </w:t>
      </w:r>
      <w:proofErr w:type="gramStart"/>
      <w:r>
        <w:t>Biographie</w:t>
      </w:r>
      <w:proofErr w:type="gramEnd"/>
      <w:r>
        <w:t xml:space="preserve"> des Feldherrn Agricola, des Schwiegervaters von Tacitus. </w:t>
      </w:r>
    </w:p>
    <w:p w14:paraId="02A6B840" w14:textId="77777777" w:rsidR="00CD445B" w:rsidRDefault="00CD445B" w:rsidP="00CD445B">
      <w:pPr>
        <w:pStyle w:val="StandardWeb"/>
        <w:numPr>
          <w:ilvl w:val="0"/>
          <w:numId w:val="25"/>
        </w:numPr>
        <w:spacing w:before="100" w:beforeAutospacing="1" w:after="0"/>
      </w:pPr>
      <w:r>
        <w:rPr>
          <w:rStyle w:val="Hervorhebung"/>
        </w:rPr>
        <w:t>Germania</w:t>
      </w:r>
      <w:r>
        <w:t xml:space="preserve"> (De </w:t>
      </w:r>
      <w:proofErr w:type="spellStart"/>
      <w:r>
        <w:t>origine</w:t>
      </w:r>
      <w:proofErr w:type="spellEnd"/>
      <w:r>
        <w:t xml:space="preserve"> et situ </w:t>
      </w:r>
      <w:proofErr w:type="spellStart"/>
      <w:r>
        <w:t>Germanorum</w:t>
      </w:r>
      <w:proofErr w:type="spellEnd"/>
      <w:r>
        <w:t xml:space="preserve">). Darstellung der Lebensweise und der </w:t>
      </w:r>
      <w:proofErr w:type="gramStart"/>
      <w:r>
        <w:t>Geographie</w:t>
      </w:r>
      <w:proofErr w:type="gramEnd"/>
      <w:r>
        <w:t xml:space="preserve"> der Germanen, die teilweise als unverdorbenes Vorbild gegenüber den Römern herausgestellt werden. Während der Zeit der nationalsozialistischen Diktatur wurde dieses Werk bisweilen zu Propagandazwecken missbraucht. </w:t>
      </w:r>
    </w:p>
    <w:p w14:paraId="50F72233" w14:textId="77777777" w:rsidR="00CD445B" w:rsidRDefault="00CD445B" w:rsidP="00CD445B">
      <w:pPr>
        <w:pStyle w:val="StandardWeb"/>
        <w:numPr>
          <w:ilvl w:val="0"/>
          <w:numId w:val="25"/>
        </w:numPr>
        <w:spacing w:before="100" w:beforeAutospacing="1" w:after="0"/>
      </w:pPr>
      <w:proofErr w:type="spellStart"/>
      <w:r>
        <w:rPr>
          <w:rStyle w:val="Hervorhebung"/>
        </w:rPr>
        <w:t>Historiae</w:t>
      </w:r>
      <w:proofErr w:type="spellEnd"/>
      <w:r>
        <w:t xml:space="preserve">. Römische Geschichte von 69 n. Chr. bis 96 nach Chr. </w:t>
      </w:r>
    </w:p>
    <w:p w14:paraId="33E7EC27" w14:textId="77777777" w:rsidR="00CD445B" w:rsidRDefault="00CD445B" w:rsidP="00CD445B">
      <w:pPr>
        <w:pStyle w:val="StandardWeb"/>
        <w:numPr>
          <w:ilvl w:val="0"/>
          <w:numId w:val="25"/>
        </w:numPr>
        <w:spacing w:before="100" w:beforeAutospacing="1" w:after="142"/>
      </w:pPr>
      <w:r>
        <w:rPr>
          <w:rStyle w:val="Hervorhebung"/>
        </w:rPr>
        <w:t>Annales</w:t>
      </w:r>
      <w:r>
        <w:t xml:space="preserve">. Römische Geschichte von 14 n. Chr. (Tod des Augustus) bis 68 n. Chr. </w:t>
      </w:r>
    </w:p>
    <w:p w14:paraId="635B54AE" w14:textId="77777777" w:rsidR="00CD445B" w:rsidRDefault="00CD445B" w:rsidP="00CD445B">
      <w:pPr>
        <w:pStyle w:val="StandardWeb"/>
      </w:pPr>
      <w:r>
        <w:t>Einige Werke sind nur zum Teil erhalten.</w:t>
      </w:r>
    </w:p>
    <w:p w14:paraId="41CC801C" w14:textId="77777777" w:rsidR="00CD445B" w:rsidRDefault="00CD445B" w:rsidP="00CD445B">
      <w:pPr>
        <w:pStyle w:val="StandardWeb"/>
      </w:pPr>
      <w:r>
        <w:t>Linkvorschläge:</w:t>
      </w:r>
    </w:p>
    <w:p w14:paraId="5D5B9766" w14:textId="77777777" w:rsidR="00CD445B" w:rsidRDefault="00CD445B" w:rsidP="00CD445B">
      <w:pPr>
        <w:pStyle w:val="StandardWeb"/>
        <w:numPr>
          <w:ilvl w:val="0"/>
          <w:numId w:val="26"/>
        </w:numPr>
        <w:spacing w:before="100" w:beforeAutospacing="1" w:after="0"/>
      </w:pPr>
      <w:r>
        <w:t xml:space="preserve">Texte von Tacitus bei </w:t>
      </w:r>
      <w:hyperlink r:id="rId33" w:tgtFrame="_blank" w:history="1">
        <w:r>
          <w:rPr>
            <w:rStyle w:val="Hyperlink"/>
          </w:rPr>
          <w:t>Gottwein.de</w:t>
        </w:r>
      </w:hyperlink>
      <w:r>
        <w:t xml:space="preserve"> </w:t>
      </w:r>
    </w:p>
    <w:p w14:paraId="1DCC0D1B" w14:textId="77777777" w:rsidR="00CD445B" w:rsidRDefault="00CD445B" w:rsidP="00CD445B">
      <w:pPr>
        <w:pStyle w:val="StandardWeb"/>
        <w:numPr>
          <w:ilvl w:val="0"/>
          <w:numId w:val="26"/>
        </w:numPr>
        <w:spacing w:before="100" w:beforeAutospacing="1" w:after="142"/>
      </w:pPr>
      <w:r>
        <w:t xml:space="preserve">„Die Freiheit des </w:t>
      </w:r>
      <w:proofErr w:type="spellStart"/>
      <w:r>
        <w:t>Thrasea</w:t>
      </w:r>
      <w:proofErr w:type="spellEnd"/>
      <w:r>
        <w:t xml:space="preserve"> </w:t>
      </w:r>
      <w:proofErr w:type="spellStart"/>
      <w:r>
        <w:t>Paetus</w:t>
      </w:r>
      <w:proofErr w:type="spellEnd"/>
      <w:r>
        <w:t xml:space="preserve">“, bei </w:t>
      </w:r>
      <w:hyperlink r:id="rId34" w:tgtFrame="_blank" w:history="1">
        <w:r>
          <w:rPr>
            <w:rStyle w:val="Hyperlink"/>
          </w:rPr>
          <w:t>Latein-unterrichten.de</w:t>
        </w:r>
      </w:hyperlink>
      <w:r>
        <w:t xml:space="preserve"> (Ulf Jesper) </w:t>
      </w:r>
    </w:p>
    <w:p w14:paraId="381F919C" w14:textId="77777777" w:rsidR="00CD445B" w:rsidRDefault="00CD445B" w:rsidP="00CD445B">
      <w:pPr>
        <w:pStyle w:val="berschrift4"/>
        <w:rPr>
          <w:rFonts w:ascii="Liberation Serif" w:hAnsi="Liberation Serif" w:cs="Liberation Serif"/>
        </w:rPr>
      </w:pPr>
      <w:bookmarkStart w:id="11" w:name="plinius"/>
      <w:bookmarkEnd w:id="11"/>
      <w:r>
        <w:rPr>
          <w:rFonts w:ascii="Liberation Serif" w:hAnsi="Liberation Serif" w:cs="Liberation Serif"/>
        </w:rPr>
        <w:t>Briefe Plinius d. J.</w:t>
      </w:r>
    </w:p>
    <w:p w14:paraId="2E21EE7B" w14:textId="77777777" w:rsidR="00CD445B" w:rsidRDefault="00CD445B" w:rsidP="00CD445B">
      <w:pPr>
        <w:pStyle w:val="StandardWeb"/>
        <w:rPr>
          <w:rFonts w:ascii="Times New Roman" w:hAnsi="Times New Roman"/>
        </w:rPr>
      </w:pPr>
      <w:r>
        <w:t>98 – 116 n. Chr.</w:t>
      </w:r>
    </w:p>
    <w:p w14:paraId="66C6B23B" w14:textId="77777777" w:rsidR="00CD445B" w:rsidRDefault="00CD445B" w:rsidP="00CD445B">
      <w:pPr>
        <w:pStyle w:val="StandardWeb"/>
      </w:pPr>
      <w:r>
        <w:t xml:space="preserve">Plinius der Jüngere (Gaius Plinius </w:t>
      </w:r>
      <w:proofErr w:type="spellStart"/>
      <w:r>
        <w:t>Caecilius</w:t>
      </w:r>
      <w:proofErr w:type="spellEnd"/>
      <w:r>
        <w:t xml:space="preserve"> </w:t>
      </w:r>
      <w:proofErr w:type="spellStart"/>
      <w:r>
        <w:t>Secundus</w:t>
      </w:r>
      <w:proofErr w:type="spellEnd"/>
      <w:r>
        <w:t xml:space="preserve">), Onkel und Adoptivsohn des gleichnamigen Naturforschers (Plinius der Ältere), ist Senator, Anwalt und Schriftsteller. Er verfasst Briefe (10 Bücher, von denen das </w:t>
      </w:r>
      <w:proofErr w:type="gramStart"/>
      <w:r>
        <w:t>letzte</w:t>
      </w:r>
      <w:proofErr w:type="gramEnd"/>
      <w:r>
        <w:t xml:space="preserve"> die Korrespondenz mit dem Kaiser Trajan enthält), sowie einen </w:t>
      </w:r>
      <w:proofErr w:type="spellStart"/>
      <w:r>
        <w:t>Panegyricus</w:t>
      </w:r>
      <w:proofErr w:type="spellEnd"/>
      <w:r>
        <w:t xml:space="preserve"> (ein Loblied) auf Kaiser Trajan.</w:t>
      </w:r>
    </w:p>
    <w:p w14:paraId="6FB0818F" w14:textId="77777777" w:rsidR="00CD445B" w:rsidRDefault="00CD445B" w:rsidP="00CD445B">
      <w:pPr>
        <w:pStyle w:val="StandardWeb"/>
      </w:pPr>
      <w:r>
        <w:t>Die Briefe sind nicht chronologisch angeordnet, sondern nach literarischen Motiven gruppiert. Plinius äußert sich in den Briefen zu gesellschaftlichen, literarischen, moralischen und tagesaktuellen Themen, um seine eigene literarische Kompetenz darzustellen. Die Briefe geben einen guten Einblick in die Lebenswelt und die kulturellen Interessen der römischen Oberschicht am angehenden 2. Jh. n. Chr.</w:t>
      </w:r>
    </w:p>
    <w:p w14:paraId="61673C04" w14:textId="77777777" w:rsidR="00CD445B" w:rsidRDefault="00CD445B" w:rsidP="00CD445B">
      <w:pPr>
        <w:pStyle w:val="StandardWeb"/>
      </w:pPr>
      <w:r>
        <w:t xml:space="preserve">Die Briefe 6, 16 und 6, 20 beschreiben den </w:t>
      </w:r>
      <w:hyperlink w:anchor="vesuv" w:history="1">
        <w:r>
          <w:rPr>
            <w:rStyle w:val="Hyperlink"/>
          </w:rPr>
          <w:t>↑ Ausbruch des Vesuvs ↑</w:t>
        </w:r>
      </w:hyperlink>
      <w:r>
        <w:t xml:space="preserve"> im Jahr 79 n. Chr., den Plinius als junger Mann miterlebt.</w:t>
      </w:r>
    </w:p>
    <w:p w14:paraId="5076430A" w14:textId="77777777" w:rsidR="00CD445B" w:rsidRDefault="00CD445B" w:rsidP="00CD445B">
      <w:pPr>
        <w:pStyle w:val="StandardWeb"/>
      </w:pPr>
      <w:r>
        <w:t>Die Lebensdaten sind nur ungefähr erschließbar: vermutlich 61 oder 62 n. Chr. bis vor 116 n. Chr.</w:t>
      </w:r>
    </w:p>
    <w:p w14:paraId="63F6AB73" w14:textId="77777777" w:rsidR="00CD445B" w:rsidRDefault="00CD445B" w:rsidP="00CD445B">
      <w:pPr>
        <w:pStyle w:val="StandardWeb"/>
      </w:pPr>
      <w:r>
        <w:t>Linkvorschläge:</w:t>
      </w:r>
    </w:p>
    <w:p w14:paraId="091C4C4C" w14:textId="77777777" w:rsidR="00CD445B" w:rsidRDefault="00CD445B" w:rsidP="00CD445B">
      <w:pPr>
        <w:pStyle w:val="StandardWeb"/>
        <w:numPr>
          <w:ilvl w:val="0"/>
          <w:numId w:val="27"/>
        </w:numPr>
        <w:spacing w:before="100" w:beforeAutospacing="1" w:after="0"/>
      </w:pPr>
      <w:r>
        <w:t xml:space="preserve">Verzeichnis </w:t>
      </w:r>
      <w:hyperlink r:id="rId35" w:tgtFrame="_blank" w:history="1">
        <w:r>
          <w:rPr>
            <w:rStyle w:val="Hyperlink"/>
          </w:rPr>
          <w:t>Internetadressen</w:t>
        </w:r>
      </w:hyperlink>
      <w:r>
        <w:t xml:space="preserve"> zu Plinius. </w:t>
      </w:r>
    </w:p>
    <w:p w14:paraId="1DA7BA35" w14:textId="77777777" w:rsidR="00CD445B" w:rsidRDefault="00CD445B" w:rsidP="00CD445B">
      <w:pPr>
        <w:pStyle w:val="StandardWeb"/>
        <w:numPr>
          <w:ilvl w:val="0"/>
          <w:numId w:val="27"/>
        </w:numPr>
        <w:spacing w:before="100" w:beforeAutospacing="1" w:after="142"/>
      </w:pPr>
      <w:r>
        <w:t xml:space="preserve">Übersetzungstext der so genannten Christenbriefe des Plinius, mit der Antwort des Kaisers Trajan, beim </w:t>
      </w:r>
      <w:hyperlink r:id="rId36" w:tgtFrame="_blank" w:history="1">
        <w:r>
          <w:rPr>
            <w:rStyle w:val="Hyperlink"/>
          </w:rPr>
          <w:t>Österreichischen Bildungsserver</w:t>
        </w:r>
      </w:hyperlink>
      <w:r>
        <w:t xml:space="preserve">. Es gibt zwei Fassungen (mit mehr oder weniger Übersetzungshilfen). Um die erste Fassung zu öffnen, muss man auf den Link </w:t>
      </w:r>
      <w:r>
        <w:rPr>
          <w:rStyle w:val="Hervorhebung"/>
        </w:rPr>
        <w:t>eduhi.at</w:t>
      </w:r>
      <w:r>
        <w:t xml:space="preserve"> klicken. </w:t>
      </w:r>
    </w:p>
    <w:p w14:paraId="469F3861" w14:textId="77777777" w:rsidR="00CD445B" w:rsidRDefault="00CD445B" w:rsidP="00CD445B">
      <w:pPr>
        <w:pStyle w:val="berschrift4"/>
        <w:rPr>
          <w:rFonts w:ascii="Liberation Serif" w:hAnsi="Liberation Serif" w:cs="Liberation Serif"/>
        </w:rPr>
      </w:pPr>
      <w:bookmarkStart w:id="12" w:name="sueton"/>
      <w:bookmarkEnd w:id="12"/>
      <w:r>
        <w:rPr>
          <w:rFonts w:ascii="Liberation Serif" w:hAnsi="Liberation Serif" w:cs="Liberation Serif"/>
        </w:rPr>
        <w:t xml:space="preserve">Suetons </w:t>
      </w:r>
      <w:proofErr w:type="gramStart"/>
      <w:r>
        <w:rPr>
          <w:rFonts w:ascii="Liberation Serif" w:hAnsi="Liberation Serif" w:cs="Liberation Serif"/>
        </w:rPr>
        <w:t>Kaiserbiographien</w:t>
      </w:r>
      <w:proofErr w:type="gramEnd"/>
      <w:r>
        <w:rPr>
          <w:rFonts w:ascii="Liberation Serif" w:hAnsi="Liberation Serif" w:cs="Liberation Serif"/>
        </w:rPr>
        <w:t xml:space="preserve"> erscheinen</w:t>
      </w:r>
    </w:p>
    <w:p w14:paraId="6542B2C2" w14:textId="77777777" w:rsidR="00CD445B" w:rsidRDefault="00CD445B" w:rsidP="00CD445B">
      <w:pPr>
        <w:pStyle w:val="StandardWeb"/>
        <w:rPr>
          <w:rFonts w:ascii="Times New Roman" w:hAnsi="Times New Roman"/>
        </w:rPr>
      </w:pPr>
      <w:r>
        <w:t>120 – 140 n. Chr.</w:t>
      </w:r>
    </w:p>
    <w:p w14:paraId="4AD0AE4B" w14:textId="77777777" w:rsidR="00CD445B" w:rsidRDefault="00CD445B" w:rsidP="00CD445B">
      <w:pPr>
        <w:pStyle w:val="StandardWeb"/>
      </w:pPr>
      <w:r>
        <w:lastRenderedPageBreak/>
        <w:t xml:space="preserve">Sueton (C. Suetonius </w:t>
      </w:r>
      <w:proofErr w:type="spellStart"/>
      <w:r>
        <w:t>Tranquillus</w:t>
      </w:r>
      <w:proofErr w:type="spellEnd"/>
      <w:r>
        <w:t xml:space="preserve">, 70 n. Chr. – ca. 140 n. Chr.) war ein römischer Historiker und Biograph. Er arbeitet am Hof der Kaiser Trajan und </w:t>
      </w:r>
      <w:proofErr w:type="spellStart"/>
      <w:r>
        <w:t>und</w:t>
      </w:r>
      <w:proofErr w:type="spellEnd"/>
      <w:r>
        <w:t xml:space="preserve"> Hadrian. Von Sueton sind </w:t>
      </w:r>
      <w:proofErr w:type="gramStart"/>
      <w:r>
        <w:t>Kaiserbiographien</w:t>
      </w:r>
      <w:proofErr w:type="gramEnd"/>
      <w:r>
        <w:t xml:space="preserve"> erhalten, die auch heute noch als wertvolle Geschichtsquellen gelten.</w:t>
      </w:r>
    </w:p>
    <w:p w14:paraId="42BB49B7" w14:textId="77777777" w:rsidR="00CD445B" w:rsidRDefault="00CD445B" w:rsidP="00CD445B">
      <w:pPr>
        <w:pStyle w:val="StandardWeb"/>
      </w:pPr>
      <w:r>
        <w:t xml:space="preserve">Vermutlich erschienen die ersten Bücher der </w:t>
      </w:r>
      <w:proofErr w:type="gramStart"/>
      <w:r>
        <w:t>Kaiserbiographien</w:t>
      </w:r>
      <w:proofErr w:type="gramEnd"/>
      <w:r>
        <w:t xml:space="preserve"> um das Jahr 120 n. Chr.</w:t>
      </w:r>
    </w:p>
    <w:p w14:paraId="2607BC7C" w14:textId="77777777" w:rsidR="00CD445B" w:rsidRDefault="00CD445B" w:rsidP="00CD445B">
      <w:pPr>
        <w:pStyle w:val="StandardWeb"/>
      </w:pPr>
      <w:r>
        <w:t xml:space="preserve">Sein Fokus zielt nicht primär auf politisch-historische Darstellung, sondern auf die Schilderung einer Person in all ihren Facetten. So erfahren wir Wertvolles über Gewohnheiten, Sitten, Zeitumstände, Alltag, Religion usw. – Sueton führt mit der </w:t>
      </w:r>
      <w:proofErr w:type="gramStart"/>
      <w:r>
        <w:t>Biographie</w:t>
      </w:r>
      <w:proofErr w:type="gramEnd"/>
      <w:r>
        <w:t xml:space="preserve"> eine hellenistische Gattung fort und entwickelt sie in neuen Dimensionen. Seine </w:t>
      </w:r>
      <w:proofErr w:type="gramStart"/>
      <w:r>
        <w:t>Biographien</w:t>
      </w:r>
      <w:proofErr w:type="gramEnd"/>
      <w:r>
        <w:t xml:space="preserve"> haben eine große Wirkungsgeschichte; sie galten auch im Mittelalter als stilprägend.</w:t>
      </w:r>
    </w:p>
    <w:p w14:paraId="11D6B412" w14:textId="77777777" w:rsidR="00CD445B" w:rsidRDefault="00CD445B" w:rsidP="00CD445B">
      <w:pPr>
        <w:pStyle w:val="StandardWeb"/>
      </w:pPr>
      <w:r>
        <w:t xml:space="preserve">Erhaltenes Werk: De </w:t>
      </w:r>
      <w:proofErr w:type="spellStart"/>
      <w:r>
        <w:t>vita</w:t>
      </w:r>
      <w:proofErr w:type="spellEnd"/>
      <w:r>
        <w:t xml:space="preserve"> </w:t>
      </w:r>
      <w:proofErr w:type="spellStart"/>
      <w:r>
        <w:t>Caesarum</w:t>
      </w:r>
      <w:proofErr w:type="spellEnd"/>
      <w:r>
        <w:t>/</w:t>
      </w:r>
      <w:proofErr w:type="gramStart"/>
      <w:r>
        <w:t>Kaiserbiographien</w:t>
      </w:r>
      <w:proofErr w:type="gramEnd"/>
    </w:p>
    <w:p w14:paraId="74C6D3E7" w14:textId="77777777" w:rsidR="00CD445B" w:rsidRDefault="00CD445B" w:rsidP="00CD445B">
      <w:pPr>
        <w:pStyle w:val="StandardWeb"/>
        <w:numPr>
          <w:ilvl w:val="0"/>
          <w:numId w:val="28"/>
        </w:numPr>
        <w:spacing w:before="100" w:beforeAutospacing="1" w:after="0"/>
      </w:pPr>
      <w:r>
        <w:t xml:space="preserve">De </w:t>
      </w:r>
      <w:proofErr w:type="spellStart"/>
      <w:r>
        <w:t>vita</w:t>
      </w:r>
      <w:proofErr w:type="spellEnd"/>
      <w:r>
        <w:t xml:space="preserve"> </w:t>
      </w:r>
      <w:proofErr w:type="spellStart"/>
      <w:r>
        <w:t>Caesarum</w:t>
      </w:r>
      <w:proofErr w:type="spellEnd"/>
      <w:r>
        <w:t xml:space="preserve">, lateinisch, bei </w:t>
      </w:r>
      <w:hyperlink r:id="rId37" w:anchor="0" w:tgtFrame="_blank" w:history="1">
        <w:r>
          <w:rPr>
            <w:rStyle w:val="Hyperlink"/>
          </w:rPr>
          <w:t xml:space="preserve">PHI </w:t>
        </w:r>
        <w:proofErr w:type="spellStart"/>
        <w:r>
          <w:rPr>
            <w:rStyle w:val="Hyperlink"/>
          </w:rPr>
          <w:t>Latin</w:t>
        </w:r>
        <w:proofErr w:type="spellEnd"/>
        <w:r>
          <w:rPr>
            <w:rStyle w:val="Hyperlink"/>
          </w:rPr>
          <w:t xml:space="preserve"> Texts</w:t>
        </w:r>
      </w:hyperlink>
      <w:r>
        <w:t xml:space="preserve"> </w:t>
      </w:r>
    </w:p>
    <w:p w14:paraId="0ABC3C0F" w14:textId="77777777" w:rsidR="00CD445B" w:rsidRDefault="00CD445B" w:rsidP="00CD445B">
      <w:pPr>
        <w:pStyle w:val="StandardWeb"/>
        <w:numPr>
          <w:ilvl w:val="0"/>
          <w:numId w:val="28"/>
        </w:numPr>
        <w:spacing w:before="100" w:beforeAutospacing="1" w:after="0"/>
      </w:pPr>
      <w:r>
        <w:t xml:space="preserve">Auszüge aus </w:t>
      </w:r>
      <w:proofErr w:type="spellStart"/>
      <w:r>
        <w:t>De</w:t>
      </w:r>
      <w:proofErr w:type="spellEnd"/>
      <w:r>
        <w:t xml:space="preserve"> </w:t>
      </w:r>
      <w:proofErr w:type="spellStart"/>
      <w:r>
        <w:t>vita</w:t>
      </w:r>
      <w:proofErr w:type="spellEnd"/>
      <w:r>
        <w:t xml:space="preserve"> </w:t>
      </w:r>
      <w:proofErr w:type="spellStart"/>
      <w:r>
        <w:t>Caesarum</w:t>
      </w:r>
      <w:proofErr w:type="spellEnd"/>
      <w:r>
        <w:t xml:space="preserve">: Claudius und Nero, bei </w:t>
      </w:r>
      <w:hyperlink r:id="rId38" w:anchor="Sueton" w:tgtFrame="_blank" w:history="1">
        <w:r>
          <w:rPr>
            <w:rStyle w:val="Hyperlink"/>
          </w:rPr>
          <w:t>Gottwein.de</w:t>
        </w:r>
      </w:hyperlink>
      <w:r>
        <w:t xml:space="preserve"> </w:t>
      </w:r>
    </w:p>
    <w:p w14:paraId="7258B7BB" w14:textId="77777777" w:rsidR="00CD445B" w:rsidRDefault="00CD445B" w:rsidP="00CD445B">
      <w:pPr>
        <w:pStyle w:val="StandardWeb"/>
        <w:numPr>
          <w:ilvl w:val="0"/>
          <w:numId w:val="28"/>
        </w:numPr>
        <w:spacing w:before="100" w:beforeAutospacing="1" w:after="0"/>
      </w:pPr>
      <w:r>
        <w:t xml:space="preserve">Deutsch bei </w:t>
      </w:r>
      <w:hyperlink r:id="rId39" w:tgtFrame="_blank" w:history="1">
        <w:r>
          <w:rPr>
            <w:rStyle w:val="Hyperlink"/>
          </w:rPr>
          <w:t>Projekt Gutenberg</w:t>
        </w:r>
      </w:hyperlink>
      <w:r>
        <w:t xml:space="preserve"> </w:t>
      </w:r>
    </w:p>
    <w:p w14:paraId="508D682F" w14:textId="77777777" w:rsidR="00CD445B" w:rsidRDefault="00CD445B" w:rsidP="00CD445B">
      <w:pPr>
        <w:pStyle w:val="StandardWeb"/>
        <w:numPr>
          <w:ilvl w:val="0"/>
          <w:numId w:val="28"/>
        </w:numPr>
        <w:spacing w:before="100" w:beforeAutospacing="1" w:after="142"/>
      </w:pPr>
      <w:r>
        <w:t xml:space="preserve">Deutsch bei </w:t>
      </w:r>
      <w:hyperlink r:id="rId40" w:tgtFrame="_blank" w:history="1">
        <w:r>
          <w:rPr>
            <w:rStyle w:val="Hyperlink"/>
          </w:rPr>
          <w:t>Zeno.org</w:t>
        </w:r>
      </w:hyperlink>
      <w:r>
        <w:t xml:space="preserve"> </w:t>
      </w:r>
    </w:p>
    <w:p w14:paraId="5BE2B89A" w14:textId="77777777" w:rsidR="00CD445B" w:rsidRDefault="00CD445B" w:rsidP="00CD445B">
      <w:pPr>
        <w:pStyle w:val="berschrift4"/>
        <w:rPr>
          <w:rFonts w:ascii="Liberation Serif" w:hAnsi="Liberation Serif" w:cs="Liberation Serif"/>
        </w:rPr>
      </w:pPr>
      <w:bookmarkStart w:id="13" w:name="apuleius"/>
      <w:bookmarkEnd w:id="13"/>
      <w:r>
        <w:rPr>
          <w:rFonts w:ascii="Liberation Serif" w:hAnsi="Liberation Serif" w:cs="Liberation Serif"/>
        </w:rPr>
        <w:t>Apuleius beginnt seine Schriften zu veröffentlichen</w:t>
      </w:r>
    </w:p>
    <w:p w14:paraId="23D0CA82" w14:textId="77777777" w:rsidR="00CD445B" w:rsidRDefault="00CD445B" w:rsidP="00CD445B">
      <w:pPr>
        <w:pStyle w:val="StandardWeb"/>
        <w:rPr>
          <w:rFonts w:ascii="Times New Roman" w:hAnsi="Times New Roman"/>
        </w:rPr>
      </w:pPr>
      <w:r>
        <w:t>160 – 190 n. Chr.</w:t>
      </w:r>
    </w:p>
    <w:p w14:paraId="1BF5998C" w14:textId="77777777" w:rsidR="00CD445B" w:rsidRDefault="00CD445B" w:rsidP="00CD445B">
      <w:pPr>
        <w:pStyle w:val="StandardWeb"/>
      </w:pPr>
      <w:r>
        <w:t xml:space="preserve">Der Schriftsteller Apuleius stammt aus Numidien in Afrika. Er verfasst einen berühmten Roman, </w:t>
      </w:r>
      <w:r>
        <w:rPr>
          <w:rStyle w:val="Hervorhebung"/>
        </w:rPr>
        <w:t>Metamorphosen</w:t>
      </w:r>
      <w:r>
        <w:t xml:space="preserve">, der vom Titel her an Ovids gleichnamiges Werk erinnert, aber einer anderen Textsorte zugehört: Mit Apuleius' Werk wird die Entwicklung des europäischen Romans entscheidend vorangebracht. Der bekannteste Teil dieses Romans ist das Märchen von Amor und Psyche, </w:t>
      </w:r>
      <w:proofErr w:type="gramStart"/>
      <w:r>
        <w:t>das</w:t>
      </w:r>
      <w:proofErr w:type="gramEnd"/>
      <w:r>
        <w:t xml:space="preserve"> Apuleius vermutlich selbst erfunden, also nicht aus anderen Quellen übernommen hat. Apuleius' </w:t>
      </w:r>
      <w:r>
        <w:rPr>
          <w:rStyle w:val="Hervorhebung"/>
        </w:rPr>
        <w:t>Metamorphosen</w:t>
      </w:r>
      <w:r>
        <w:t xml:space="preserve"> sind auch unter dem Titel </w:t>
      </w:r>
      <w:r>
        <w:rPr>
          <w:rStyle w:val="Hervorhebung"/>
        </w:rPr>
        <w:t>Der goldene Esel</w:t>
      </w:r>
      <w:r>
        <w:t xml:space="preserve"> bekannt, ein Titel, der auch schon in der Antike verwendet wird.</w:t>
      </w:r>
    </w:p>
    <w:p w14:paraId="38104BCE" w14:textId="77777777" w:rsidR="00CD445B" w:rsidRDefault="00CD445B" w:rsidP="00CD445B">
      <w:pPr>
        <w:pStyle w:val="StandardWeb"/>
      </w:pPr>
      <w:r>
        <w:t>Apuleius verfasste auch philosophische Texte.</w:t>
      </w:r>
    </w:p>
    <w:p w14:paraId="6438DD4C" w14:textId="77777777" w:rsidR="00CD445B" w:rsidRDefault="00CD445B" w:rsidP="00CD445B">
      <w:pPr>
        <w:pStyle w:val="StandardWeb"/>
      </w:pPr>
      <w:r>
        <w:t>Linkempfehlungen:</w:t>
      </w:r>
    </w:p>
    <w:p w14:paraId="748EA70A" w14:textId="77777777" w:rsidR="00CD445B" w:rsidRDefault="00CD445B" w:rsidP="00CD445B">
      <w:pPr>
        <w:pStyle w:val="StandardWeb"/>
        <w:numPr>
          <w:ilvl w:val="0"/>
          <w:numId w:val="29"/>
        </w:numPr>
        <w:spacing w:before="100" w:beforeAutospacing="1" w:after="0"/>
      </w:pPr>
      <w:r>
        <w:t xml:space="preserve">Metamorphosen/Der goldene Esel beim </w:t>
      </w:r>
      <w:hyperlink r:id="rId41" w:tgtFrame="_blank" w:history="1">
        <w:r>
          <w:rPr>
            <w:rStyle w:val="Hyperlink"/>
          </w:rPr>
          <w:t>Projekt Gutenberg</w:t>
        </w:r>
      </w:hyperlink>
      <w:r>
        <w:t xml:space="preserve"> (Übersetzung von August Rhode, 1920) </w:t>
      </w:r>
    </w:p>
    <w:p w14:paraId="1FAB2332" w14:textId="77777777" w:rsidR="00CD445B" w:rsidRDefault="00CD445B" w:rsidP="00CD445B">
      <w:pPr>
        <w:pStyle w:val="StandardWeb"/>
        <w:numPr>
          <w:ilvl w:val="0"/>
          <w:numId w:val="29"/>
        </w:numPr>
        <w:spacing w:before="100" w:beforeAutospacing="1" w:after="0"/>
      </w:pPr>
      <w:hyperlink r:id="rId42" w:tgtFrame="_blank" w:history="1">
        <w:r>
          <w:rPr>
            <w:rStyle w:val="Hyperlink"/>
          </w:rPr>
          <w:t>Wikipedia über die Apuleius</w:t>
        </w:r>
      </w:hyperlink>
      <w:r>
        <w:t xml:space="preserve"> </w:t>
      </w:r>
    </w:p>
    <w:p w14:paraId="0371F2AF" w14:textId="77777777" w:rsidR="00CD445B" w:rsidRDefault="00CD445B" w:rsidP="00CD445B">
      <w:pPr>
        <w:pStyle w:val="StandardWeb"/>
        <w:numPr>
          <w:ilvl w:val="0"/>
          <w:numId w:val="29"/>
        </w:numPr>
        <w:spacing w:before="100" w:beforeAutospacing="1" w:after="0"/>
      </w:pPr>
      <w:r>
        <w:t xml:space="preserve">Das Märchen von Amor und Psyche bei </w:t>
      </w:r>
      <w:hyperlink r:id="rId43" w:tgtFrame="_blank" w:history="1">
        <w:r>
          <w:rPr>
            <w:rStyle w:val="Hyperlink"/>
          </w:rPr>
          <w:t>Gottwein.de</w:t>
        </w:r>
      </w:hyperlink>
      <w:r>
        <w:t xml:space="preserve"> </w:t>
      </w:r>
    </w:p>
    <w:p w14:paraId="4577DBEC" w14:textId="77777777" w:rsidR="00CD445B" w:rsidRDefault="00CD445B" w:rsidP="00CD445B">
      <w:pPr>
        <w:pStyle w:val="StandardWeb"/>
        <w:numPr>
          <w:ilvl w:val="0"/>
          <w:numId w:val="29"/>
        </w:numPr>
        <w:spacing w:before="100" w:beforeAutospacing="1" w:after="142"/>
      </w:pPr>
      <w:r>
        <w:t xml:space="preserve">Apuleius' Werke bei </w:t>
      </w:r>
      <w:hyperlink r:id="rId44" w:tgtFrame="_blank" w:history="1">
        <w:r>
          <w:rPr>
            <w:rStyle w:val="Hyperlink"/>
          </w:rPr>
          <w:t xml:space="preserve">PHI </w:t>
        </w:r>
        <w:proofErr w:type="spellStart"/>
        <w:r>
          <w:rPr>
            <w:rStyle w:val="Hyperlink"/>
          </w:rPr>
          <w:t>Latin</w:t>
        </w:r>
        <w:proofErr w:type="spellEnd"/>
        <w:r>
          <w:rPr>
            <w:rStyle w:val="Hyperlink"/>
          </w:rPr>
          <w:t xml:space="preserve"> Texts</w:t>
        </w:r>
      </w:hyperlink>
      <w:r>
        <w:t xml:space="preserve"> </w:t>
      </w:r>
    </w:p>
    <w:p w14:paraId="223CB6FE" w14:textId="77777777" w:rsidR="00CD445B" w:rsidRDefault="00CD445B" w:rsidP="00CD445B">
      <w:pPr>
        <w:pStyle w:val="berschrift4"/>
        <w:rPr>
          <w:rFonts w:ascii="Liberation Serif" w:hAnsi="Liberation Serif" w:cs="Liberation Serif"/>
        </w:rPr>
      </w:pPr>
      <w:bookmarkStart w:id="14" w:name="gellius"/>
      <w:bookmarkEnd w:id="14"/>
      <w:r>
        <w:rPr>
          <w:rFonts w:ascii="Liberation Serif" w:hAnsi="Liberation Serif" w:cs="Liberation Serif"/>
        </w:rPr>
        <w:t xml:space="preserve">Aulus </w:t>
      </w:r>
      <w:proofErr w:type="spellStart"/>
      <w:r>
        <w:rPr>
          <w:rFonts w:ascii="Liberation Serif" w:hAnsi="Liberation Serif" w:cs="Liberation Serif"/>
        </w:rPr>
        <w:t>Gellius</w:t>
      </w:r>
      <w:proofErr w:type="spellEnd"/>
      <w:r>
        <w:rPr>
          <w:rFonts w:ascii="Liberation Serif" w:hAnsi="Liberation Serif" w:cs="Liberation Serif"/>
        </w:rPr>
        <w:t xml:space="preserve"> veröffentlicht die </w:t>
      </w:r>
      <w:proofErr w:type="spellStart"/>
      <w:r>
        <w:rPr>
          <w:rStyle w:val="Hervorhebung"/>
          <w:rFonts w:ascii="Liberation Serif" w:hAnsi="Liberation Serif" w:cs="Liberation Serif"/>
        </w:rPr>
        <w:t>Noctes</w:t>
      </w:r>
      <w:proofErr w:type="spellEnd"/>
      <w:r>
        <w:rPr>
          <w:rStyle w:val="Hervorhebung"/>
          <w:rFonts w:ascii="Liberation Serif" w:hAnsi="Liberation Serif" w:cs="Liberation Serif"/>
        </w:rPr>
        <w:t xml:space="preserve"> </w:t>
      </w:r>
      <w:proofErr w:type="spellStart"/>
      <w:r>
        <w:rPr>
          <w:rStyle w:val="Hervorhebung"/>
          <w:rFonts w:ascii="Liberation Serif" w:hAnsi="Liberation Serif" w:cs="Liberation Serif"/>
        </w:rPr>
        <w:t>Atticae</w:t>
      </w:r>
      <w:proofErr w:type="spellEnd"/>
    </w:p>
    <w:p w14:paraId="0E44E1FA" w14:textId="77777777" w:rsidR="00CD445B" w:rsidRDefault="00CD445B" w:rsidP="00CD445B">
      <w:pPr>
        <w:pStyle w:val="StandardWeb"/>
        <w:rPr>
          <w:rFonts w:ascii="Times New Roman" w:hAnsi="Times New Roman"/>
        </w:rPr>
      </w:pPr>
      <w:r>
        <w:t>170 n. Chr.</w:t>
      </w:r>
    </w:p>
    <w:p w14:paraId="039DF40A" w14:textId="66AA9D71" w:rsidR="00AB77C2" w:rsidRDefault="00CD445B" w:rsidP="00CD445B">
      <w:pPr>
        <w:pStyle w:val="StandardWeb"/>
      </w:pPr>
      <w:r>
        <w:t xml:space="preserve">Der Schriftsteller </w:t>
      </w:r>
      <w:proofErr w:type="spellStart"/>
      <w:r>
        <w:t>Gellius</w:t>
      </w:r>
      <w:proofErr w:type="spellEnd"/>
      <w:r>
        <w:t xml:space="preserve"> bietet in seinen </w:t>
      </w:r>
      <w:proofErr w:type="spellStart"/>
      <w:r>
        <w:rPr>
          <w:rStyle w:val="Hervorhebung"/>
        </w:rPr>
        <w:t>Noctes</w:t>
      </w:r>
      <w:proofErr w:type="spellEnd"/>
      <w:r>
        <w:rPr>
          <w:rStyle w:val="Hervorhebung"/>
        </w:rPr>
        <w:t xml:space="preserve"> </w:t>
      </w:r>
      <w:proofErr w:type="spellStart"/>
      <w:r>
        <w:rPr>
          <w:rStyle w:val="Hervorhebung"/>
        </w:rPr>
        <w:t>Atticae</w:t>
      </w:r>
      <w:proofErr w:type="spellEnd"/>
      <w:r>
        <w:t xml:space="preserve"> (Nächte in Athen) eine bunte Sammlung von Essays, Anekdoten, Kurzprosatexten und Betrachtungen; man kann dieses Werk als „Sach-, Lehr- und Unterhaltungsbuch“ bezeichnen (Michael v. Albrecht). Insofern ist das Buch einzigartig. </w:t>
      </w:r>
      <w:proofErr w:type="spellStart"/>
      <w:r>
        <w:t>Gellius</w:t>
      </w:r>
      <w:proofErr w:type="spellEnd"/>
      <w:r>
        <w:t xml:space="preserve"> verfügte über eine philosophische und rhetorische Ausbildung.</w:t>
      </w:r>
    </w:p>
    <w:p w14:paraId="3A66E645" w14:textId="77777777" w:rsidR="00AB77C2" w:rsidRDefault="00AB77C2">
      <w:pPr>
        <w:spacing w:after="0" w:line="240" w:lineRule="auto"/>
        <w:rPr>
          <w:rFonts w:ascii="Arial" w:hAnsi="Arial"/>
          <w:sz w:val="22"/>
        </w:rPr>
      </w:pPr>
      <w:r>
        <w:br w:type="page"/>
      </w:r>
    </w:p>
    <w:p w14:paraId="5DA7CA4B" w14:textId="77777777" w:rsidR="00CD445B" w:rsidRDefault="00CD445B" w:rsidP="00CD445B">
      <w:pPr>
        <w:pStyle w:val="StandardWeb"/>
      </w:pPr>
      <w:r>
        <w:lastRenderedPageBreak/>
        <w:t xml:space="preserve">Linkempfehlungen: </w:t>
      </w:r>
    </w:p>
    <w:p w14:paraId="090894F6" w14:textId="77777777" w:rsidR="00CD445B" w:rsidRDefault="00CD445B" w:rsidP="00CD445B">
      <w:pPr>
        <w:pStyle w:val="StandardWeb"/>
        <w:numPr>
          <w:ilvl w:val="0"/>
          <w:numId w:val="30"/>
        </w:numPr>
        <w:spacing w:before="100" w:beforeAutospacing="1" w:after="142"/>
      </w:pPr>
      <w:proofErr w:type="spellStart"/>
      <w:r>
        <w:t>Noctes</w:t>
      </w:r>
      <w:proofErr w:type="spellEnd"/>
      <w:r>
        <w:t xml:space="preserve"> </w:t>
      </w:r>
      <w:proofErr w:type="spellStart"/>
      <w:r>
        <w:t>Atticae</w:t>
      </w:r>
      <w:proofErr w:type="spellEnd"/>
      <w:r>
        <w:t xml:space="preserve"> in der </w:t>
      </w:r>
      <w:hyperlink r:id="rId45" w:tgtFrame="_blank" w:history="1">
        <w:r>
          <w:rPr>
            <w:rStyle w:val="Hyperlink"/>
          </w:rPr>
          <w:t>Wikipedia</w:t>
        </w:r>
      </w:hyperlink>
    </w:p>
    <w:p w14:paraId="2947628E" w14:textId="77777777" w:rsidR="00CD445B" w:rsidRDefault="00CD445B" w:rsidP="00CD445B">
      <w:pPr>
        <w:pStyle w:val="StandardWeb"/>
        <w:numPr>
          <w:ilvl w:val="0"/>
          <w:numId w:val="30"/>
        </w:numPr>
        <w:spacing w:before="100" w:beforeAutospacing="1" w:after="142"/>
      </w:pPr>
      <w:r>
        <w:t xml:space="preserve">Lektüreeinheit zu den </w:t>
      </w:r>
      <w:proofErr w:type="spellStart"/>
      <w:r>
        <w:rPr>
          <w:rStyle w:val="Hervorhebung"/>
        </w:rPr>
        <w:t>Noctes</w:t>
      </w:r>
      <w:proofErr w:type="spellEnd"/>
      <w:r>
        <w:rPr>
          <w:rStyle w:val="Hervorhebung"/>
        </w:rPr>
        <w:t xml:space="preserve"> </w:t>
      </w:r>
      <w:proofErr w:type="spellStart"/>
      <w:r>
        <w:rPr>
          <w:rStyle w:val="Hervorhebung"/>
        </w:rPr>
        <w:t>Atticae</w:t>
      </w:r>
      <w:proofErr w:type="spellEnd"/>
      <w:r>
        <w:t xml:space="preserve"> in der </w:t>
      </w:r>
      <w:r>
        <w:rPr>
          <w:rStyle w:val="Hervorhebung"/>
        </w:rPr>
        <w:t>Lateinischen Bibliothek des Landesbildungsservers</w:t>
      </w:r>
      <w:r>
        <w:t xml:space="preserve">: </w:t>
      </w:r>
      <w:hyperlink r:id="rId46" w:history="1">
        <w:r>
          <w:rPr>
            <w:rStyle w:val="Hyperlink"/>
          </w:rPr>
          <w:t xml:space="preserve">Lateinische Bibliothek: Aulus </w:t>
        </w:r>
        <w:proofErr w:type="spellStart"/>
        <w:r>
          <w:rPr>
            <w:rStyle w:val="Hyperlink"/>
          </w:rPr>
          <w:t>Gellius</w:t>
        </w:r>
        <w:proofErr w:type="spellEnd"/>
      </w:hyperlink>
      <w:r>
        <w:t xml:space="preserve">. Die Lektüreeinheit enthält sowohl Texte mit Übersetzung und Bearbeitungs- bzw. Interpretationsfragen als auch Texte mit Übersetzungshilfen für die Übersetzungsarbeit. </w:t>
      </w:r>
    </w:p>
    <w:p w14:paraId="329CBC7A" w14:textId="77777777" w:rsidR="00CD445B" w:rsidRDefault="00CD445B" w:rsidP="00CD445B">
      <w:pPr>
        <w:pStyle w:val="berschrift2"/>
        <w:rPr>
          <w:rFonts w:ascii="Liberation Sans" w:hAnsi="Liberation Sans" w:cs="Liberation Sans"/>
          <w:i/>
          <w:iCs/>
          <w:sz w:val="32"/>
          <w:szCs w:val="32"/>
        </w:rPr>
      </w:pPr>
      <w:bookmarkStart w:id="15" w:name="180"/>
      <w:bookmarkEnd w:id="15"/>
      <w:r>
        <w:rPr>
          <w:rFonts w:ascii="Liberation Sans" w:hAnsi="Liberation Sans" w:cs="Liberation Sans"/>
          <w:i/>
          <w:iCs/>
          <w:sz w:val="32"/>
          <w:szCs w:val="32"/>
        </w:rPr>
        <w:t xml:space="preserve">Commodus und die </w:t>
      </w:r>
      <w:proofErr w:type="spellStart"/>
      <w:r>
        <w:rPr>
          <w:rFonts w:ascii="Liberation Sans" w:hAnsi="Liberation Sans" w:cs="Liberation Sans"/>
          <w:i/>
          <w:iCs/>
          <w:sz w:val="32"/>
          <w:szCs w:val="32"/>
        </w:rPr>
        <w:t>severische</w:t>
      </w:r>
      <w:proofErr w:type="spellEnd"/>
      <w:r>
        <w:rPr>
          <w:rFonts w:ascii="Liberation Sans" w:hAnsi="Liberation Sans" w:cs="Liberation Sans"/>
          <w:i/>
          <w:iCs/>
          <w:sz w:val="32"/>
          <w:szCs w:val="32"/>
        </w:rPr>
        <w:t xml:space="preserve"> Dynastie (180 – 235 n. Chr.)</w:t>
      </w:r>
    </w:p>
    <w:p w14:paraId="41F75476" w14:textId="77777777" w:rsidR="00CD445B" w:rsidRDefault="00CD445B" w:rsidP="00CD445B">
      <w:pPr>
        <w:pStyle w:val="StandardWeb"/>
        <w:rPr>
          <w:rFonts w:ascii="Times New Roman" w:hAnsi="Times New Roman"/>
          <w:sz w:val="24"/>
        </w:rPr>
      </w:pPr>
      <w:r>
        <w:t xml:space="preserve">Nach einer kurzen Alleinherrschaft des Commodus etabliert sich eine Dynastie, die sich in hohem Maße auf das Militär stützt: die </w:t>
      </w:r>
      <w:proofErr w:type="spellStart"/>
      <w:r>
        <w:t>severische</w:t>
      </w:r>
      <w:proofErr w:type="spellEnd"/>
      <w:r>
        <w:t xml:space="preserve"> Dynastie, benannt nach dem Kaiser Septimius Severus. Die römische Rechtswissenschaft erreicht in dieser Zeit eine Blüte.</w:t>
      </w:r>
    </w:p>
    <w:p w14:paraId="486FF8ED" w14:textId="77777777" w:rsidR="00CD445B" w:rsidRDefault="00CD445B" w:rsidP="00CD445B">
      <w:pPr>
        <w:pStyle w:val="berschrift3"/>
        <w:rPr>
          <w:rFonts w:ascii="Liberation Sans" w:hAnsi="Liberation Sans" w:cs="Liberation Sans"/>
          <w:sz w:val="28"/>
          <w:szCs w:val="28"/>
        </w:rPr>
      </w:pPr>
      <w:bookmarkStart w:id="16" w:name="commodus"/>
      <w:bookmarkEnd w:id="16"/>
      <w:r>
        <w:rPr>
          <w:rFonts w:ascii="Liberation Sans" w:hAnsi="Liberation Sans" w:cs="Liberation Sans"/>
          <w:sz w:val="28"/>
          <w:szCs w:val="28"/>
        </w:rPr>
        <w:t>Politische Entwicklung</w:t>
      </w:r>
    </w:p>
    <w:p w14:paraId="0AAD6F92" w14:textId="77777777" w:rsidR="00CD445B" w:rsidRDefault="00CD445B" w:rsidP="00CD445B">
      <w:pPr>
        <w:pStyle w:val="berschrift4"/>
        <w:rPr>
          <w:rFonts w:ascii="Liberation Serif" w:hAnsi="Liberation Serif" w:cs="Liberation Serif"/>
        </w:rPr>
      </w:pPr>
      <w:bookmarkStart w:id="17" w:name="commodus1"/>
      <w:bookmarkEnd w:id="17"/>
      <w:r>
        <w:rPr>
          <w:rFonts w:ascii="Liberation Serif" w:hAnsi="Liberation Serif" w:cs="Liberation Serif"/>
        </w:rPr>
        <w:t>Herrschaft des Commodus</w:t>
      </w:r>
    </w:p>
    <w:p w14:paraId="3A9DF4DA" w14:textId="77777777" w:rsidR="00CD445B" w:rsidRDefault="00CD445B" w:rsidP="00CD445B">
      <w:pPr>
        <w:pStyle w:val="StandardWeb"/>
        <w:rPr>
          <w:rFonts w:ascii="Times New Roman" w:hAnsi="Times New Roman"/>
        </w:rPr>
      </w:pPr>
      <w:r>
        <w:t>180 – 192</w:t>
      </w:r>
    </w:p>
    <w:p w14:paraId="58C72D9B" w14:textId="77777777" w:rsidR="00CD445B" w:rsidRDefault="00CD445B" w:rsidP="00CD445B">
      <w:pPr>
        <w:pStyle w:val="StandardWeb"/>
      </w:pPr>
      <w:r>
        <w:t>Nach Marc Aurels Tod kommt sein Sohn Commodus an die Macht. Er regiert weitaus weniger liberal als sein Vater und bringt den Senat gegen sich auf. Im Zuge einer Verschwörung wird er ermordet.</w:t>
      </w:r>
    </w:p>
    <w:p w14:paraId="6C2D680D" w14:textId="77777777" w:rsidR="00CD445B" w:rsidRDefault="00CD445B" w:rsidP="00CD445B">
      <w:pPr>
        <w:pStyle w:val="StandardWeb"/>
      </w:pPr>
      <w:r>
        <w:t xml:space="preserve">Linkempfehlung: </w:t>
      </w:r>
      <w:hyperlink r:id="rId47" w:history="1">
        <w:r>
          <w:rPr>
            <w:rStyle w:val="Hyperlink"/>
          </w:rPr>
          <w:t xml:space="preserve">Wikipedia </w:t>
        </w:r>
      </w:hyperlink>
      <w:r>
        <w:t>über Commodus</w:t>
      </w:r>
    </w:p>
    <w:p w14:paraId="24FDA546" w14:textId="77777777" w:rsidR="00CD445B" w:rsidRDefault="00CD445B" w:rsidP="00CD445B">
      <w:pPr>
        <w:pStyle w:val="berschrift4"/>
        <w:rPr>
          <w:rFonts w:ascii="Liberation Serif" w:hAnsi="Liberation Serif" w:cs="Liberation Serif"/>
        </w:rPr>
      </w:pPr>
      <w:bookmarkStart w:id="18" w:name="septimiusseverus"/>
      <w:bookmarkEnd w:id="18"/>
      <w:r>
        <w:rPr>
          <w:rFonts w:ascii="Liberation Serif" w:hAnsi="Liberation Serif" w:cs="Liberation Serif"/>
        </w:rPr>
        <w:t>Septimius Severus ist Kaiser</w:t>
      </w:r>
    </w:p>
    <w:p w14:paraId="31BA2D4C" w14:textId="77777777" w:rsidR="00CD445B" w:rsidRDefault="00CD445B" w:rsidP="00CD445B">
      <w:pPr>
        <w:pStyle w:val="StandardWeb"/>
        <w:rPr>
          <w:rFonts w:ascii="Times New Roman" w:hAnsi="Times New Roman"/>
        </w:rPr>
      </w:pPr>
      <w:r>
        <w:t>193 – 211</w:t>
      </w:r>
    </w:p>
    <w:p w14:paraId="4E687F4C" w14:textId="77777777" w:rsidR="00CD445B" w:rsidRDefault="00CD445B" w:rsidP="00CD445B">
      <w:pPr>
        <w:pStyle w:val="StandardWeb"/>
      </w:pPr>
      <w:r>
        <w:t xml:space="preserve">Der Begründer der </w:t>
      </w:r>
      <w:proofErr w:type="spellStart"/>
      <w:r>
        <w:t>severischen</w:t>
      </w:r>
      <w:proofErr w:type="spellEnd"/>
      <w:r>
        <w:t xml:space="preserve"> Dynastie, Septimius Severus, kommt an die Macht, indem er sich militärisch gegen konkurrierende Gegenkaiser durchsetzt. Er stammte aus Libyen.</w:t>
      </w:r>
    </w:p>
    <w:p w14:paraId="19E8536A" w14:textId="77777777" w:rsidR="00CD445B" w:rsidRDefault="00CD445B" w:rsidP="00CD445B">
      <w:pPr>
        <w:pStyle w:val="StandardWeb"/>
      </w:pPr>
      <w:r>
        <w:t xml:space="preserve">Linkempfehlung: </w:t>
      </w:r>
      <w:hyperlink r:id="rId48" w:tgtFrame="_blank" w:history="1">
        <w:r>
          <w:rPr>
            <w:rStyle w:val="Hyperlink"/>
          </w:rPr>
          <w:t xml:space="preserve">Wikipedia </w:t>
        </w:r>
      </w:hyperlink>
      <w:r>
        <w:t>über Septimius Severus</w:t>
      </w:r>
    </w:p>
    <w:p w14:paraId="00D4C3F5" w14:textId="77777777" w:rsidR="00CD445B" w:rsidRDefault="00CD445B" w:rsidP="00CD445B">
      <w:pPr>
        <w:pStyle w:val="berschrift4"/>
        <w:rPr>
          <w:rFonts w:ascii="Liberation Serif" w:hAnsi="Liberation Serif" w:cs="Liberation Serif"/>
        </w:rPr>
      </w:pPr>
      <w:bookmarkStart w:id="19" w:name="caracalla"/>
      <w:bookmarkEnd w:id="19"/>
      <w:r>
        <w:rPr>
          <w:rFonts w:ascii="Liberation Serif" w:hAnsi="Liberation Serif" w:cs="Liberation Serif"/>
        </w:rPr>
        <w:t>Caracalla ist Kaiser</w:t>
      </w:r>
    </w:p>
    <w:p w14:paraId="7D6E3530" w14:textId="77777777" w:rsidR="00CD445B" w:rsidRDefault="00CD445B" w:rsidP="00CD445B">
      <w:pPr>
        <w:pStyle w:val="StandardWeb"/>
        <w:rPr>
          <w:rFonts w:ascii="Times New Roman" w:hAnsi="Times New Roman"/>
        </w:rPr>
      </w:pPr>
      <w:r>
        <w:t>211 – 217</w:t>
      </w:r>
    </w:p>
    <w:p w14:paraId="07FB7292" w14:textId="77777777" w:rsidR="00CD445B" w:rsidRDefault="00CD445B" w:rsidP="00CD445B">
      <w:pPr>
        <w:pStyle w:val="StandardWeb"/>
      </w:pPr>
      <w:r>
        <w:t xml:space="preserve">Caracalla, Sohn des Septimius Severus, herrscht als Kaiser. Lebensdaten: 188 – 217 n. Chr. Er gilt als grausam; so ermordet er seinen Bruder </w:t>
      </w:r>
      <w:proofErr w:type="spellStart"/>
      <w:r>
        <w:t>Geta</w:t>
      </w:r>
      <w:proofErr w:type="spellEnd"/>
      <w:r>
        <w:t xml:space="preserve">, den der Vater der beiden als Mitregenten vorgesehen hatte, und viele der Anhänger seines Bruders. Zu seinen historischen Leistungen gehört die </w:t>
      </w:r>
      <w:proofErr w:type="spellStart"/>
      <w:r>
        <w:t>Constitutio</w:t>
      </w:r>
      <w:proofErr w:type="spellEnd"/>
      <w:r>
        <w:t xml:space="preserve"> </w:t>
      </w:r>
      <w:proofErr w:type="spellStart"/>
      <w:r>
        <w:t>Antoniniana</w:t>
      </w:r>
      <w:proofErr w:type="spellEnd"/>
      <w:r>
        <w:t xml:space="preserve"> (siehe den folgenden Eintrag).</w:t>
      </w:r>
    </w:p>
    <w:p w14:paraId="5466FAEB" w14:textId="77777777" w:rsidR="00CD445B" w:rsidRDefault="00CD445B" w:rsidP="00CD445B">
      <w:pPr>
        <w:pStyle w:val="StandardWeb"/>
      </w:pPr>
      <w:r>
        <w:t>Linkempfehlungen:</w:t>
      </w:r>
    </w:p>
    <w:p w14:paraId="0DB4E5D6" w14:textId="77777777" w:rsidR="00CD445B" w:rsidRDefault="00CD445B" w:rsidP="00CD445B">
      <w:pPr>
        <w:pStyle w:val="StandardWeb"/>
        <w:numPr>
          <w:ilvl w:val="0"/>
          <w:numId w:val="31"/>
        </w:numPr>
        <w:spacing w:before="100" w:beforeAutospacing="1" w:after="0"/>
      </w:pPr>
      <w:r>
        <w:t xml:space="preserve">Ein informativer Artikel in der </w:t>
      </w:r>
      <w:hyperlink r:id="rId49" w:tgtFrame="_blank" w:history="1">
        <w:r>
          <w:rPr>
            <w:rStyle w:val="Hyperlink"/>
          </w:rPr>
          <w:t>WELT ONLINE</w:t>
        </w:r>
      </w:hyperlink>
      <w:r>
        <w:t xml:space="preserve"> über Caracalla, Erscheinungsjahr: 2013; Autor: Berthold Seewald; </w:t>
      </w:r>
    </w:p>
    <w:p w14:paraId="6FE1FBC3" w14:textId="77777777" w:rsidR="00CD445B" w:rsidRDefault="00CD445B" w:rsidP="00CD445B">
      <w:pPr>
        <w:pStyle w:val="StandardWeb"/>
        <w:numPr>
          <w:ilvl w:val="0"/>
          <w:numId w:val="31"/>
        </w:numPr>
        <w:spacing w:before="100" w:beforeAutospacing="1" w:after="142"/>
      </w:pPr>
      <w:hyperlink r:id="rId50" w:tgtFrame="_blank" w:history="1">
        <w:r>
          <w:rPr>
            <w:rStyle w:val="Hyperlink"/>
          </w:rPr>
          <w:t>Wikipedia</w:t>
        </w:r>
      </w:hyperlink>
      <w:r>
        <w:t xml:space="preserve"> über Caracalla. </w:t>
      </w:r>
    </w:p>
    <w:p w14:paraId="4B844A72" w14:textId="77777777" w:rsidR="00CD445B" w:rsidRDefault="00CD445B" w:rsidP="00CD445B">
      <w:pPr>
        <w:pStyle w:val="berschrift4"/>
        <w:rPr>
          <w:rFonts w:ascii="Liberation Serif" w:hAnsi="Liberation Serif" w:cs="Liberation Serif"/>
        </w:rPr>
      </w:pPr>
      <w:bookmarkStart w:id="20" w:name="constitutioa"/>
      <w:bookmarkEnd w:id="20"/>
      <w:proofErr w:type="spellStart"/>
      <w:r>
        <w:rPr>
          <w:rFonts w:ascii="Liberation Serif" w:hAnsi="Liberation Serif" w:cs="Liberation Serif"/>
        </w:rPr>
        <w:lastRenderedPageBreak/>
        <w:t>Constitutio</w:t>
      </w:r>
      <w:proofErr w:type="spellEnd"/>
      <w:r>
        <w:rPr>
          <w:rFonts w:ascii="Liberation Serif" w:hAnsi="Liberation Serif" w:cs="Liberation Serif"/>
        </w:rPr>
        <w:t xml:space="preserve"> </w:t>
      </w:r>
      <w:proofErr w:type="spellStart"/>
      <w:r>
        <w:rPr>
          <w:rFonts w:ascii="Liberation Serif" w:hAnsi="Liberation Serif" w:cs="Liberation Serif"/>
        </w:rPr>
        <w:t>Antoniniana</w:t>
      </w:r>
      <w:proofErr w:type="spellEnd"/>
      <w:r>
        <w:rPr>
          <w:rFonts w:ascii="Liberation Serif" w:hAnsi="Liberation Serif" w:cs="Liberation Serif"/>
        </w:rPr>
        <w:t>: Reform des Bürgerrechts</w:t>
      </w:r>
    </w:p>
    <w:p w14:paraId="2D28D2C1" w14:textId="77777777" w:rsidR="00CD445B" w:rsidRDefault="00CD445B" w:rsidP="00CD445B">
      <w:pPr>
        <w:pStyle w:val="StandardWeb"/>
        <w:rPr>
          <w:rFonts w:ascii="Times New Roman" w:hAnsi="Times New Roman"/>
        </w:rPr>
      </w:pPr>
      <w:r>
        <w:t>212 n. Chr.</w:t>
      </w:r>
    </w:p>
    <w:p w14:paraId="1229F9B4" w14:textId="77777777" w:rsidR="00CD445B" w:rsidRDefault="00CD445B" w:rsidP="00CD445B">
      <w:pPr>
        <w:pStyle w:val="StandardWeb"/>
      </w:pPr>
      <w:r>
        <w:t>Unter Caracalla erhalten alle freien Einwohner des römischen Imperiums das Bürgerrecht. Auch für religiöse Minderheiten wie die Juden bringt diese Reform eine zumindest rechtliche Gleichstellung mit der Mehrheit.</w:t>
      </w:r>
      <w:r>
        <w:br/>
        <w:t xml:space="preserve">Die Formulierung dieses Gesetzes findet man bei dem Juristen Ulpian in den </w:t>
      </w:r>
      <w:r>
        <w:rPr>
          <w:rStyle w:val="Hervorhebung"/>
        </w:rPr>
        <w:t>Digesten</w:t>
      </w:r>
      <w:r>
        <w:t>, einer Sammlung von Rechtsvorschriften, die unter dem Kaiser Justinian erstellt wurde.</w:t>
      </w:r>
    </w:p>
    <w:p w14:paraId="6F5D1BB8" w14:textId="77777777" w:rsidR="00CD445B" w:rsidRDefault="00CD445B" w:rsidP="00CD445B">
      <w:pPr>
        <w:pStyle w:val="StandardWeb"/>
      </w:pPr>
      <w:r>
        <w:t>Die Bezeichnung des Gesetzes leitet sich von dem offiziellen Namen Caracallas ab: Marcus Aurelius Severus Antoninus.</w:t>
      </w:r>
    </w:p>
    <w:p w14:paraId="61FD5DEC" w14:textId="77777777" w:rsidR="00CD445B" w:rsidRDefault="00CD445B" w:rsidP="00CD445B">
      <w:pPr>
        <w:pStyle w:val="berschrift4"/>
        <w:rPr>
          <w:rFonts w:ascii="Liberation Serif" w:hAnsi="Liberation Serif" w:cs="Liberation Serif"/>
        </w:rPr>
      </w:pPr>
      <w:bookmarkStart w:id="21" w:name="elagabal"/>
      <w:bookmarkEnd w:id="21"/>
      <w:r>
        <w:rPr>
          <w:rFonts w:ascii="Liberation Serif" w:hAnsi="Liberation Serif" w:cs="Liberation Serif"/>
        </w:rPr>
        <w:t xml:space="preserve">Elagabal, Severus Alexander, </w:t>
      </w:r>
      <w:proofErr w:type="spellStart"/>
      <w:r>
        <w:rPr>
          <w:rFonts w:ascii="Liberation Serif" w:hAnsi="Liberation Serif" w:cs="Liberation Serif"/>
        </w:rPr>
        <w:t>Iulia</w:t>
      </w:r>
      <w:proofErr w:type="spellEnd"/>
      <w:r>
        <w:rPr>
          <w:rFonts w:ascii="Liberation Serif" w:hAnsi="Liberation Serif" w:cs="Liberation Serif"/>
        </w:rPr>
        <w:t xml:space="preserve"> </w:t>
      </w:r>
      <w:proofErr w:type="spellStart"/>
      <w:r>
        <w:rPr>
          <w:rFonts w:ascii="Liberation Serif" w:hAnsi="Liberation Serif" w:cs="Liberation Serif"/>
        </w:rPr>
        <w:t>Maesa</w:t>
      </w:r>
      <w:proofErr w:type="spellEnd"/>
      <w:r>
        <w:rPr>
          <w:rFonts w:ascii="Liberation Serif" w:hAnsi="Liberation Serif" w:cs="Liberation Serif"/>
        </w:rPr>
        <w:t xml:space="preserve"> und </w:t>
      </w:r>
      <w:proofErr w:type="spellStart"/>
      <w:r>
        <w:rPr>
          <w:rFonts w:ascii="Liberation Serif" w:hAnsi="Liberation Serif" w:cs="Liberation Serif"/>
        </w:rPr>
        <w:t>Iulia</w:t>
      </w:r>
      <w:proofErr w:type="spellEnd"/>
      <w:r>
        <w:rPr>
          <w:rFonts w:ascii="Liberation Serif" w:hAnsi="Liberation Serif" w:cs="Liberation Serif"/>
        </w:rPr>
        <w:t xml:space="preserve"> </w:t>
      </w:r>
      <w:proofErr w:type="spellStart"/>
      <w:r>
        <w:rPr>
          <w:rFonts w:ascii="Liberation Serif" w:hAnsi="Liberation Serif" w:cs="Liberation Serif"/>
        </w:rPr>
        <w:t>Mamea</w:t>
      </w:r>
      <w:proofErr w:type="spellEnd"/>
      <w:r>
        <w:rPr>
          <w:rFonts w:ascii="Liberation Serif" w:hAnsi="Liberation Serif" w:cs="Liberation Serif"/>
        </w:rPr>
        <w:t xml:space="preserve"> regieren das Reich.</w:t>
      </w:r>
    </w:p>
    <w:p w14:paraId="50091F25" w14:textId="77777777" w:rsidR="00CD445B" w:rsidRDefault="00CD445B" w:rsidP="00CD445B">
      <w:pPr>
        <w:pStyle w:val="StandardWeb"/>
        <w:rPr>
          <w:rFonts w:ascii="Times New Roman" w:hAnsi="Times New Roman"/>
        </w:rPr>
      </w:pPr>
      <w:r>
        <w:t>218 – 222 und 222 – 235 n. Chr.</w:t>
      </w:r>
    </w:p>
    <w:p w14:paraId="08FCA450" w14:textId="77777777" w:rsidR="00CD445B" w:rsidRDefault="00CD445B" w:rsidP="00CD445B">
      <w:pPr>
        <w:pStyle w:val="StandardWeb"/>
      </w:pPr>
      <w:r>
        <w:t xml:space="preserve">Nach Caracallas Ermordung lässt seine Tante, </w:t>
      </w:r>
      <w:proofErr w:type="spellStart"/>
      <w:r>
        <w:t>Iulia</w:t>
      </w:r>
      <w:proofErr w:type="spellEnd"/>
      <w:r>
        <w:t xml:space="preserve"> </w:t>
      </w:r>
      <w:proofErr w:type="spellStart"/>
      <w:r>
        <w:t>Maesa</w:t>
      </w:r>
      <w:proofErr w:type="spellEnd"/>
      <w:r>
        <w:t xml:space="preserve">, ihren Enkel Elagabal, einen Sonnenpriester, zum Kaiser ausrufen, indem sie erklärt, dieser sei ein Sohn Caracallas. Elagabal gilt als exaltiert; er wird im Jahr 222 ermordet. Sein Vetter Severus Alexander regiert ab 222 gemeinsam mit seiner Großmutter (verstorben im Jahr 226) und seiner Mutter </w:t>
      </w:r>
      <w:proofErr w:type="spellStart"/>
      <w:r>
        <w:t>Iulia</w:t>
      </w:r>
      <w:proofErr w:type="spellEnd"/>
      <w:r>
        <w:t xml:space="preserve"> </w:t>
      </w:r>
      <w:proofErr w:type="spellStart"/>
      <w:r>
        <w:t>Mamea</w:t>
      </w:r>
      <w:proofErr w:type="spellEnd"/>
      <w:r>
        <w:t xml:space="preserve"> das Reich.</w:t>
      </w:r>
    </w:p>
    <w:p w14:paraId="5F384AAE" w14:textId="77777777" w:rsidR="00CD445B" w:rsidRDefault="00CD445B" w:rsidP="00CD445B">
      <w:pPr>
        <w:pStyle w:val="berschrift3"/>
        <w:rPr>
          <w:rFonts w:ascii="Liberation Sans" w:hAnsi="Liberation Sans" w:cs="Liberation Sans"/>
          <w:sz w:val="28"/>
          <w:szCs w:val="28"/>
        </w:rPr>
      </w:pPr>
      <w:r>
        <w:rPr>
          <w:rFonts w:ascii="Liberation Sans" w:hAnsi="Liberation Sans" w:cs="Liberation Sans"/>
          <w:sz w:val="28"/>
          <w:szCs w:val="28"/>
        </w:rPr>
        <w:t>Konflikte mit anderen Völkern</w:t>
      </w:r>
    </w:p>
    <w:p w14:paraId="0D95E934" w14:textId="77777777" w:rsidR="00CD445B" w:rsidRDefault="00CD445B" w:rsidP="00CD445B">
      <w:pPr>
        <w:pStyle w:val="berschrift4"/>
        <w:rPr>
          <w:rFonts w:ascii="Liberation Serif" w:hAnsi="Liberation Serif" w:cs="Liberation Serif"/>
        </w:rPr>
      </w:pPr>
      <w:proofErr w:type="spellStart"/>
      <w:r>
        <w:rPr>
          <w:rFonts w:ascii="Liberation Serif" w:hAnsi="Liberation Serif" w:cs="Liberation Serif"/>
        </w:rPr>
        <w:t>Partherkriege</w:t>
      </w:r>
      <w:proofErr w:type="spellEnd"/>
      <w:r>
        <w:rPr>
          <w:rFonts w:ascii="Liberation Serif" w:hAnsi="Liberation Serif" w:cs="Liberation Serif"/>
        </w:rPr>
        <w:t xml:space="preserve"> des Septimius Severus</w:t>
      </w:r>
    </w:p>
    <w:p w14:paraId="4B202A42" w14:textId="77777777" w:rsidR="00CD445B" w:rsidRDefault="00CD445B" w:rsidP="00CD445B">
      <w:pPr>
        <w:pStyle w:val="StandardWeb"/>
        <w:rPr>
          <w:rFonts w:ascii="Times New Roman" w:hAnsi="Times New Roman"/>
        </w:rPr>
      </w:pPr>
      <w:r>
        <w:t>195 – 198 n. Chr.</w:t>
      </w:r>
    </w:p>
    <w:p w14:paraId="2C0212ED" w14:textId="77777777" w:rsidR="00CD445B" w:rsidRDefault="00CD445B" w:rsidP="00CD445B">
      <w:pPr>
        <w:pStyle w:val="StandardWeb"/>
      </w:pPr>
      <w:r>
        <w:t xml:space="preserve">In mehreren Kriegszügen erobert Septimius Severus einige Teile des </w:t>
      </w:r>
      <w:proofErr w:type="spellStart"/>
      <w:r>
        <w:t>Partherreiches</w:t>
      </w:r>
      <w:proofErr w:type="spellEnd"/>
      <w:r>
        <w:t>.</w:t>
      </w:r>
    </w:p>
    <w:p w14:paraId="669CC59E" w14:textId="5BAB7861" w:rsidR="00CD445B" w:rsidRDefault="00CD445B" w:rsidP="00CD445B">
      <w:pPr>
        <w:pStyle w:val="berschrift4"/>
        <w:rPr>
          <w:rFonts w:ascii="Liberation Serif" w:hAnsi="Liberation Serif" w:cs="Liberation Serif"/>
        </w:rPr>
      </w:pPr>
      <w:r>
        <w:rPr>
          <w:noProof/>
        </w:rPr>
        <w:lastRenderedPageBreak/>
        <w:drawing>
          <wp:anchor distT="0" distB="215900" distL="68580" distR="180340" simplePos="0" relativeHeight="251658240" behindDoc="0" locked="0" layoutInCell="1" allowOverlap="0" wp14:anchorId="115891C6" wp14:editId="2C6A9F5C">
            <wp:simplePos x="0" y="0"/>
            <wp:positionH relativeFrom="column">
              <wp:align>left</wp:align>
            </wp:positionH>
            <wp:positionV relativeFrom="line">
              <wp:posOffset>0</wp:posOffset>
            </wp:positionV>
            <wp:extent cx="3430800" cy="5151600"/>
            <wp:effectExtent l="0" t="0" r="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30800" cy="5151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iberation Serif" w:hAnsi="Liberation Serif" w:cs="Liberation Serif"/>
        </w:rPr>
        <w:t>Caracallas Feldzug gegen die Germanen</w:t>
      </w:r>
    </w:p>
    <w:p w14:paraId="27562F18" w14:textId="77777777" w:rsidR="00CD445B" w:rsidRDefault="00CD445B" w:rsidP="00CD445B">
      <w:pPr>
        <w:pStyle w:val="StandardWeb"/>
        <w:rPr>
          <w:rFonts w:ascii="Times New Roman" w:hAnsi="Times New Roman"/>
        </w:rPr>
      </w:pPr>
      <w:r>
        <w:t>213 n. Chr.</w:t>
      </w:r>
    </w:p>
    <w:p w14:paraId="30596664" w14:textId="77777777" w:rsidR="00CD445B" w:rsidRDefault="00CD445B" w:rsidP="00CD445B">
      <w:pPr>
        <w:pStyle w:val="StandardWeb"/>
      </w:pPr>
      <w:r>
        <w:t xml:space="preserve">Ein kurzer Feldzug des Kaisers Caracalla gegen germanische Stämme, vermutlich Alamannen, ist so erfolgreich, dass für zwei Jahrzehnte am Limes Ruhe herrscht. An den Besuch Caracallas in der germanischen Provinz erinnert das </w:t>
      </w:r>
      <w:proofErr w:type="spellStart"/>
      <w:r>
        <w:t>Limestor</w:t>
      </w:r>
      <w:proofErr w:type="spellEnd"/>
      <w:r>
        <w:t xml:space="preserve"> bei </w:t>
      </w:r>
      <w:proofErr w:type="spellStart"/>
      <w:r>
        <w:t>Dalkingen</w:t>
      </w:r>
      <w:proofErr w:type="spellEnd"/>
      <w:r>
        <w:t xml:space="preserve"> (siehe Bild rechts).</w:t>
      </w:r>
    </w:p>
    <w:p w14:paraId="70B9C66B" w14:textId="77777777" w:rsidR="00CD445B" w:rsidRDefault="00CD445B" w:rsidP="00CD445B">
      <w:pPr>
        <w:pStyle w:val="StandardWeb"/>
      </w:pPr>
      <w:r>
        <w:t xml:space="preserve">Zum </w:t>
      </w:r>
      <w:proofErr w:type="spellStart"/>
      <w:r>
        <w:t>Limestor</w:t>
      </w:r>
      <w:proofErr w:type="spellEnd"/>
      <w:r>
        <w:t xml:space="preserve"> (auch als Exkursionsziel) siehe auch den Artikel </w:t>
      </w:r>
      <w:hyperlink r:id="rId52" w:tgtFrame="_blank" w:history="1">
        <w:r>
          <w:rPr>
            <w:rStyle w:val="Hyperlink"/>
          </w:rPr>
          <w:t xml:space="preserve">Das Limesmuseum in Aalen und das </w:t>
        </w:r>
        <w:proofErr w:type="spellStart"/>
        <w:r>
          <w:rPr>
            <w:rStyle w:val="Hyperlink"/>
          </w:rPr>
          <w:t>Limestor</w:t>
        </w:r>
        <w:proofErr w:type="spellEnd"/>
        <w:r>
          <w:rPr>
            <w:rStyle w:val="Hyperlink"/>
          </w:rPr>
          <w:t xml:space="preserve"> bei </w:t>
        </w:r>
        <w:proofErr w:type="spellStart"/>
        <w:r>
          <w:rPr>
            <w:rStyle w:val="Hyperlink"/>
          </w:rPr>
          <w:t>Dalkingen</w:t>
        </w:r>
        <w:proofErr w:type="spellEnd"/>
      </w:hyperlink>
      <w:r>
        <w:t>.</w:t>
      </w:r>
    </w:p>
    <w:p w14:paraId="21FDEAA3" w14:textId="77777777" w:rsidR="00CD445B" w:rsidRDefault="00CD445B" w:rsidP="00CD445B">
      <w:pPr>
        <w:pStyle w:val="berschrift4"/>
        <w:rPr>
          <w:rFonts w:ascii="Liberation Serif" w:hAnsi="Liberation Serif" w:cs="Liberation Serif"/>
        </w:rPr>
      </w:pPr>
      <w:r>
        <w:rPr>
          <w:rFonts w:ascii="Liberation Serif" w:hAnsi="Liberation Serif" w:cs="Liberation Serif"/>
        </w:rPr>
        <w:t>Krieg des Severus Alexander gegen die Perser</w:t>
      </w:r>
    </w:p>
    <w:p w14:paraId="251F3B1F" w14:textId="77777777" w:rsidR="00CD445B" w:rsidRDefault="00CD445B" w:rsidP="00CD445B">
      <w:pPr>
        <w:pStyle w:val="StandardWeb"/>
        <w:rPr>
          <w:rFonts w:ascii="Times New Roman" w:hAnsi="Times New Roman"/>
        </w:rPr>
      </w:pPr>
      <w:r>
        <w:t>232 - 233 n. Chr.</w:t>
      </w:r>
    </w:p>
    <w:p w14:paraId="3A2BC7D0" w14:textId="77777777" w:rsidR="00CD445B" w:rsidRDefault="00CD445B" w:rsidP="00CD445B">
      <w:pPr>
        <w:pStyle w:val="StandardWeb"/>
      </w:pPr>
      <w:r>
        <w:t xml:space="preserve">Der Krieg des Severus Alexander gegen die Perser bringt zwar keine Gebietsgewinne, vermag aber die Grenzen des Reichs zum Osten </w:t>
      </w:r>
      <w:proofErr w:type="gramStart"/>
      <w:r>
        <w:t>hin zu sichern</w:t>
      </w:r>
      <w:proofErr w:type="gramEnd"/>
      <w:r>
        <w:t>. Überstürzt muss der Kaiser aber im Jahr 233 in den Norden des Imperiums aufbrechen, weil germanische Stämme dort die Reichsgrenzen angreifen.</w:t>
      </w:r>
    </w:p>
    <w:p w14:paraId="3C9D4F34" w14:textId="77777777" w:rsidR="00CD445B" w:rsidRDefault="00CD445B" w:rsidP="00CD445B">
      <w:pPr>
        <w:pStyle w:val="berschrift4"/>
        <w:rPr>
          <w:rFonts w:ascii="Liberation Serif" w:hAnsi="Liberation Serif" w:cs="Liberation Serif"/>
        </w:rPr>
      </w:pPr>
      <w:r>
        <w:rPr>
          <w:rFonts w:ascii="Liberation Serif" w:hAnsi="Liberation Serif" w:cs="Liberation Serif"/>
        </w:rPr>
        <w:t>Alamannen überqueren den Rhein</w:t>
      </w:r>
    </w:p>
    <w:p w14:paraId="79F45328" w14:textId="77777777" w:rsidR="00CD445B" w:rsidRDefault="00CD445B" w:rsidP="00CD445B">
      <w:pPr>
        <w:pStyle w:val="StandardWeb"/>
        <w:rPr>
          <w:rFonts w:ascii="Times New Roman" w:hAnsi="Times New Roman"/>
        </w:rPr>
      </w:pPr>
      <w:r>
        <w:t>233 n. Chr.</w:t>
      </w:r>
    </w:p>
    <w:p w14:paraId="2D271A7F" w14:textId="77777777" w:rsidR="00CD445B" w:rsidRDefault="00CD445B" w:rsidP="00CD445B">
      <w:pPr>
        <w:pStyle w:val="StandardWeb"/>
      </w:pPr>
      <w:r>
        <w:t xml:space="preserve">Die germanischen Alamannen fallen nach Gallien ein; dies ist ein Vorbote späterer Auseinandersetzungen, die das römische Reich in Gefahr bringen sollten. Severus Alexander und seine Mutter, die de facto Mitregentin </w:t>
      </w:r>
      <w:proofErr w:type="spellStart"/>
      <w:r>
        <w:t>Iulia</w:t>
      </w:r>
      <w:proofErr w:type="spellEnd"/>
      <w:r>
        <w:t xml:space="preserve"> </w:t>
      </w:r>
      <w:proofErr w:type="spellStart"/>
      <w:r>
        <w:t>Mamea</w:t>
      </w:r>
      <w:proofErr w:type="spellEnd"/>
      <w:r>
        <w:t>, versuchten in der Gegend von Mainz (Mogontiacum) die Einfälle abzuwehren, werden aber von unzufriedenen Soldaten im Jahr 235 n. Chr. ermordet.</w:t>
      </w:r>
    </w:p>
    <w:p w14:paraId="50304271" w14:textId="77777777" w:rsidR="00CD445B" w:rsidRDefault="00CD445B" w:rsidP="00CD445B">
      <w:pPr>
        <w:pStyle w:val="berschrift4"/>
        <w:rPr>
          <w:rFonts w:ascii="Liberation Serif" w:hAnsi="Liberation Serif" w:cs="Liberation Serif"/>
        </w:rPr>
      </w:pPr>
      <w:bookmarkStart w:id="22" w:name="limesfall"/>
      <w:bookmarkEnd w:id="22"/>
      <w:r>
        <w:rPr>
          <w:rFonts w:ascii="Liberation Serif" w:hAnsi="Liberation Serif" w:cs="Liberation Serif"/>
        </w:rPr>
        <w:t>Die römischen Kaiser geben den Limes auf.</w:t>
      </w:r>
    </w:p>
    <w:p w14:paraId="6671CDC1" w14:textId="77777777" w:rsidR="00CD445B" w:rsidRDefault="00CD445B" w:rsidP="00CD445B">
      <w:pPr>
        <w:pStyle w:val="StandardWeb"/>
        <w:rPr>
          <w:rFonts w:ascii="Times New Roman" w:hAnsi="Times New Roman"/>
        </w:rPr>
      </w:pPr>
      <w:r>
        <w:t>259 – 274</w:t>
      </w:r>
    </w:p>
    <w:p w14:paraId="36EF43C0" w14:textId="77777777" w:rsidR="00CD445B" w:rsidRDefault="00CD445B" w:rsidP="00CD445B">
      <w:pPr>
        <w:pStyle w:val="StandardWeb"/>
      </w:pPr>
      <w:r>
        <w:t xml:space="preserve">Die Kriege, die von den Kaisern im Osten des Reichs geführt werden (siehe vorige Einträge), führen dazu, dass keine militärischen Ressourcen für die Verteidigung des Limes zur Verfügung stehen. Den Einfällen germanischer Stämme kann das Imperium nichts mehr entgegensetzen. Nach </w:t>
      </w:r>
      <w:r>
        <w:lastRenderedPageBreak/>
        <w:t>und nach werden die Befestigungsanlagen des Limes aufgegeben und die Reichsgrenze an Donau und Rhein verlegt. Mit den empfohlenen Texten können diese Zusammenhänge erschlossen werden:</w:t>
      </w:r>
    </w:p>
    <w:p w14:paraId="1406E00A" w14:textId="77777777" w:rsidR="00CD445B" w:rsidRDefault="00CD445B" w:rsidP="00CD445B">
      <w:pPr>
        <w:pStyle w:val="StandardWeb"/>
      </w:pPr>
      <w:r>
        <w:t>Linkempfehlungen:</w:t>
      </w:r>
    </w:p>
    <w:p w14:paraId="66CD9774" w14:textId="77777777" w:rsidR="00CD445B" w:rsidRDefault="00CD445B" w:rsidP="00CD445B">
      <w:pPr>
        <w:pStyle w:val="StandardWeb"/>
        <w:numPr>
          <w:ilvl w:val="0"/>
          <w:numId w:val="32"/>
        </w:numPr>
        <w:spacing w:before="100" w:beforeAutospacing="1" w:after="0"/>
      </w:pPr>
      <w:hyperlink r:id="rId53" w:tgtFrame="_blank" w:history="1">
        <w:r>
          <w:rPr>
            <w:rStyle w:val="Hyperlink"/>
          </w:rPr>
          <w:t>Planet Wissen über den Limes</w:t>
        </w:r>
      </w:hyperlink>
      <w:r>
        <w:t xml:space="preserve"> </w:t>
      </w:r>
    </w:p>
    <w:p w14:paraId="78382357" w14:textId="77777777" w:rsidR="00CD445B" w:rsidRDefault="00CD445B" w:rsidP="00CD445B">
      <w:pPr>
        <w:pStyle w:val="StandardWeb"/>
        <w:numPr>
          <w:ilvl w:val="0"/>
          <w:numId w:val="32"/>
        </w:numPr>
        <w:spacing w:before="100" w:beforeAutospacing="1" w:after="0"/>
      </w:pPr>
      <w:r>
        <w:rPr>
          <w:rStyle w:val="Hervorhebung"/>
        </w:rPr>
        <w:t>Das Ende des Limes</w:t>
      </w:r>
      <w:r>
        <w:t xml:space="preserve">, Artikel auf </w:t>
      </w:r>
      <w:hyperlink r:id="rId54" w:tgtFrame="_blank" w:history="1">
        <w:r>
          <w:rPr>
            <w:rStyle w:val="Hyperlink"/>
          </w:rPr>
          <w:t>Archäologie Online</w:t>
        </w:r>
      </w:hyperlink>
      <w:r>
        <w:t xml:space="preserve"> von Markus Scholz (2001) </w:t>
      </w:r>
    </w:p>
    <w:p w14:paraId="1CB0B785" w14:textId="77777777" w:rsidR="00CD445B" w:rsidRDefault="00CD445B" w:rsidP="00CD445B">
      <w:pPr>
        <w:pStyle w:val="StandardWeb"/>
        <w:numPr>
          <w:ilvl w:val="0"/>
          <w:numId w:val="32"/>
        </w:numPr>
        <w:spacing w:before="100" w:beforeAutospacing="1" w:after="142"/>
      </w:pPr>
      <w:hyperlink r:id="rId55" w:tgtFrame="_blank" w:history="1">
        <w:r>
          <w:rPr>
            <w:rStyle w:val="Hyperlink"/>
          </w:rPr>
          <w:t xml:space="preserve">Wikipedia </w:t>
        </w:r>
      </w:hyperlink>
      <w:r>
        <w:t xml:space="preserve">über den Limesfall </w:t>
      </w:r>
    </w:p>
    <w:p w14:paraId="427D26FC" w14:textId="77777777" w:rsidR="00CD445B" w:rsidRDefault="00CD445B" w:rsidP="00CD445B">
      <w:pPr>
        <w:pStyle w:val="berschrift3"/>
        <w:rPr>
          <w:rFonts w:ascii="Liberation Sans" w:hAnsi="Liberation Sans" w:cs="Liberation Sans"/>
          <w:sz w:val="28"/>
          <w:szCs w:val="28"/>
        </w:rPr>
      </w:pPr>
      <w:r>
        <w:rPr>
          <w:rFonts w:ascii="Liberation Sans" w:hAnsi="Liberation Sans" w:cs="Liberation Sans"/>
          <w:sz w:val="28"/>
          <w:szCs w:val="28"/>
        </w:rPr>
        <w:t>Philosophie und Literatur</w:t>
      </w:r>
    </w:p>
    <w:p w14:paraId="564D57D4" w14:textId="77777777" w:rsidR="00CD445B" w:rsidRDefault="00CD445B" w:rsidP="00CD445B">
      <w:pPr>
        <w:pStyle w:val="berschrift4"/>
        <w:rPr>
          <w:rFonts w:ascii="Liberation Serif" w:hAnsi="Liberation Serif" w:cs="Liberation Serif"/>
        </w:rPr>
      </w:pPr>
      <w:bookmarkStart w:id="23" w:name="ulpian"/>
      <w:bookmarkEnd w:id="23"/>
      <w:r>
        <w:rPr>
          <w:rFonts w:ascii="Liberation Serif" w:hAnsi="Liberation Serif" w:cs="Liberation Serif"/>
        </w:rPr>
        <w:t>Der Jurist Ulpian verfasst Grundlagenwerke des römischen Rechts.</w:t>
      </w:r>
    </w:p>
    <w:p w14:paraId="702F4863" w14:textId="77777777" w:rsidR="00CD445B" w:rsidRDefault="00CD445B" w:rsidP="00CD445B">
      <w:pPr>
        <w:pStyle w:val="StandardWeb"/>
        <w:rPr>
          <w:rFonts w:ascii="Times New Roman" w:hAnsi="Times New Roman"/>
        </w:rPr>
      </w:pPr>
      <w:r>
        <w:t>ca. 211 – 223</w:t>
      </w:r>
    </w:p>
    <w:p w14:paraId="4B60E79C" w14:textId="51712F26" w:rsidR="00CD445B" w:rsidRDefault="00CD445B" w:rsidP="00CD445B">
      <w:pPr>
        <w:pStyle w:val="StandardWeb"/>
      </w:pPr>
      <w:r>
        <w:t>Domitius Ulpianus (gest. um 228 n. Chr.)</w:t>
      </w:r>
      <w:r w:rsidR="00AB77C2">
        <w:tab/>
      </w:r>
      <w:r>
        <w:t xml:space="preserve">Linkempfehlung: </w:t>
      </w:r>
      <w:hyperlink r:id="rId56" w:tgtFrame="_blank" w:history="1">
        <w:r>
          <w:rPr>
            <w:rStyle w:val="Hyperlink"/>
          </w:rPr>
          <w:t xml:space="preserve">Wikipedia </w:t>
        </w:r>
      </w:hyperlink>
      <w:r>
        <w:t>über Ulpian</w:t>
      </w:r>
    </w:p>
    <w:p w14:paraId="5FA23C36" w14:textId="77777777" w:rsidR="00CD445B" w:rsidRDefault="00CD445B" w:rsidP="00CD445B">
      <w:pPr>
        <w:pStyle w:val="berschrift4"/>
        <w:rPr>
          <w:rFonts w:ascii="Liberation Serif" w:hAnsi="Liberation Serif" w:cs="Liberation Serif"/>
        </w:rPr>
      </w:pPr>
      <w:bookmarkStart w:id="24" w:name="tertullian"/>
      <w:bookmarkEnd w:id="24"/>
      <w:r>
        <w:rPr>
          <w:rFonts w:ascii="Liberation Serif" w:hAnsi="Liberation Serif" w:cs="Liberation Serif"/>
        </w:rPr>
        <w:t>Tertullian verteidigt mit seinen Schriften das Christentum.</w:t>
      </w:r>
    </w:p>
    <w:p w14:paraId="6DECDD13" w14:textId="77777777" w:rsidR="00CD445B" w:rsidRDefault="00CD445B" w:rsidP="00CD445B">
      <w:pPr>
        <w:pStyle w:val="StandardWeb"/>
        <w:rPr>
          <w:rFonts w:ascii="Times New Roman" w:hAnsi="Times New Roman"/>
        </w:rPr>
      </w:pPr>
      <w:r>
        <w:t>197 – 220</w:t>
      </w:r>
    </w:p>
    <w:p w14:paraId="32EA0C9A" w14:textId="77777777" w:rsidR="00CD445B" w:rsidRDefault="00CD445B" w:rsidP="00CD445B">
      <w:pPr>
        <w:pStyle w:val="StandardWeb"/>
      </w:pPr>
      <w:r>
        <w:t xml:space="preserve">Quintus Septimius Florens </w:t>
      </w:r>
      <w:proofErr w:type="spellStart"/>
      <w:r>
        <w:t>Tertullianus</w:t>
      </w:r>
      <w:proofErr w:type="spellEnd"/>
      <w:r>
        <w:t xml:space="preserve">, geb. ca. 160 n. Chr., ist einer der ersten christlichen Autoren. Er prägt die christliche Theologie mit einer sehr strengen Auslegung der christlichen Lehre. So wendet er sich in der Schrift </w:t>
      </w:r>
      <w:r>
        <w:rPr>
          <w:rStyle w:val="Hervorhebung"/>
        </w:rPr>
        <w:t xml:space="preserve">De </w:t>
      </w:r>
      <w:proofErr w:type="spellStart"/>
      <w:r>
        <w:rPr>
          <w:rStyle w:val="Hervorhebung"/>
        </w:rPr>
        <w:t>spectaculis</w:t>
      </w:r>
      <w:proofErr w:type="spellEnd"/>
      <w:r>
        <w:t xml:space="preserve"> gegen die Zirkusspiele. Kulturhistorisch ist ferner die Schrift </w:t>
      </w:r>
      <w:r>
        <w:rPr>
          <w:rStyle w:val="Hervorhebung"/>
        </w:rPr>
        <w:t xml:space="preserve">De </w:t>
      </w:r>
      <w:proofErr w:type="spellStart"/>
      <w:r>
        <w:rPr>
          <w:rStyle w:val="Hervorhebung"/>
        </w:rPr>
        <w:t>virginibus</w:t>
      </w:r>
      <w:proofErr w:type="spellEnd"/>
      <w:r>
        <w:rPr>
          <w:rStyle w:val="Hervorhebung"/>
        </w:rPr>
        <w:t xml:space="preserve"> </w:t>
      </w:r>
      <w:proofErr w:type="spellStart"/>
      <w:r>
        <w:rPr>
          <w:rStyle w:val="Hervorhebung"/>
        </w:rPr>
        <w:t>velandis</w:t>
      </w:r>
      <w:proofErr w:type="spellEnd"/>
      <w:r>
        <w:rPr>
          <w:rStyle w:val="Hervorhebung"/>
        </w:rPr>
        <w:t xml:space="preserve"> (Über die Verschleierung der jungen Frauen)</w:t>
      </w:r>
      <w:r>
        <w:t xml:space="preserve"> interessant, da es hier um die auch heute noch in religiösen Zusammenhängen diskutierte Frage geht, ob Frauen sich verschleiern sollten.</w:t>
      </w:r>
      <w:r>
        <w:br/>
        <w:t xml:space="preserve">Als wichtigstes Werk gilt das </w:t>
      </w:r>
      <w:proofErr w:type="spellStart"/>
      <w:r>
        <w:rPr>
          <w:rStyle w:val="Hervorhebung"/>
        </w:rPr>
        <w:t>Apologeticum</w:t>
      </w:r>
      <w:proofErr w:type="spellEnd"/>
      <w:r>
        <w:t xml:space="preserve">, eine Verteidigung des Christentums im Kontext der Christenverfolgungen. </w:t>
      </w:r>
      <w:r>
        <w:br/>
        <w:t xml:space="preserve">Ungefähr 30 seiner Schriften sind enthalten. </w:t>
      </w:r>
      <w:r>
        <w:br/>
        <w:t>Gegen Ende seines Lebens wendet er sich der christlichen Glaubensrichtung der Montanisten zu, die von der Kirche als Häretiker angesehen werden.</w:t>
      </w:r>
    </w:p>
    <w:p w14:paraId="57F23C99" w14:textId="77777777" w:rsidR="00CD445B" w:rsidRDefault="00CD445B" w:rsidP="00CD445B">
      <w:pPr>
        <w:pStyle w:val="StandardWeb"/>
      </w:pPr>
      <w:r>
        <w:t>Linkempfehlungen:</w:t>
      </w:r>
    </w:p>
    <w:p w14:paraId="030B8C75" w14:textId="77777777" w:rsidR="00CD445B" w:rsidRDefault="00CD445B" w:rsidP="00CD445B">
      <w:pPr>
        <w:pStyle w:val="StandardWeb"/>
        <w:numPr>
          <w:ilvl w:val="0"/>
          <w:numId w:val="33"/>
        </w:numPr>
        <w:spacing w:before="100" w:beforeAutospacing="1" w:after="0"/>
      </w:pPr>
      <w:hyperlink r:id="rId57" w:tgtFrame="_blank" w:history="1">
        <w:r>
          <w:rPr>
            <w:rStyle w:val="Hyperlink"/>
          </w:rPr>
          <w:t>Wikipedia</w:t>
        </w:r>
      </w:hyperlink>
      <w:r>
        <w:t xml:space="preserve"> über Tertullian </w:t>
      </w:r>
    </w:p>
    <w:p w14:paraId="6D1813EE" w14:textId="77777777" w:rsidR="00CD445B" w:rsidRDefault="00CD445B" w:rsidP="00CD445B">
      <w:pPr>
        <w:pStyle w:val="StandardWeb"/>
        <w:numPr>
          <w:ilvl w:val="0"/>
          <w:numId w:val="33"/>
        </w:numPr>
        <w:spacing w:before="100" w:beforeAutospacing="1" w:after="0"/>
      </w:pPr>
      <w:r>
        <w:t xml:space="preserve">Tertullians Werke in deutscher Übersetzung in der </w:t>
      </w:r>
      <w:hyperlink r:id="rId58" w:tgtFrame="_blank" w:history="1">
        <w:r>
          <w:rPr>
            <w:rStyle w:val="Hyperlink"/>
          </w:rPr>
          <w:t>Bibliothek der Kirchenväter</w:t>
        </w:r>
      </w:hyperlink>
      <w:r>
        <w:t xml:space="preserve"> </w:t>
      </w:r>
    </w:p>
    <w:p w14:paraId="3C007877" w14:textId="77777777" w:rsidR="00CD445B" w:rsidRPr="00CD445B" w:rsidRDefault="00CD445B" w:rsidP="00AF6E02">
      <w:pPr>
        <w:pStyle w:val="StandardWeb"/>
        <w:numPr>
          <w:ilvl w:val="0"/>
          <w:numId w:val="33"/>
        </w:numPr>
        <w:spacing w:before="100" w:beforeAutospacing="1" w:after="142"/>
        <w:rPr>
          <w:rFonts w:ascii="Liberation Sans" w:hAnsi="Liberation Sans" w:cs="Liberation Sans"/>
          <w:i/>
          <w:iCs/>
          <w:sz w:val="32"/>
          <w:szCs w:val="32"/>
        </w:rPr>
      </w:pPr>
      <w:hyperlink r:id="rId59" w:tgtFrame="_blank" w:history="1">
        <w:r>
          <w:rPr>
            <w:rStyle w:val="Hyperlink"/>
          </w:rPr>
          <w:t>www.tertullian.org</w:t>
        </w:r>
      </w:hyperlink>
      <w:r>
        <w:t xml:space="preserve">: Das </w:t>
      </w:r>
      <w:r>
        <w:rPr>
          <w:rStyle w:val="Hervorhebung"/>
        </w:rPr>
        <w:t>Tertullian Project</w:t>
      </w:r>
      <w:r>
        <w:t>, eine Sammlung von lateinischen Texten Tertullians mit Übersetzungen und Kommentaren, mit wissenschaftlichem Anspruch (in englischer Sprache)</w:t>
      </w:r>
    </w:p>
    <w:p w14:paraId="37177C20" w14:textId="2C1EFDEF" w:rsidR="00542655" w:rsidRPr="00CD445B" w:rsidRDefault="00542655" w:rsidP="00CD445B">
      <w:pPr>
        <w:pStyle w:val="StandardWeb"/>
        <w:spacing w:before="100" w:beforeAutospacing="1" w:after="142"/>
        <w:ind w:left="720"/>
        <w:rPr>
          <w:rFonts w:ascii="Liberation Sans" w:hAnsi="Liberation Sans" w:cs="Liberation Sans"/>
          <w:i/>
          <w:iCs/>
          <w:sz w:val="32"/>
          <w:szCs w:val="32"/>
        </w:rPr>
      </w:pPr>
      <w:r w:rsidRPr="00CD445B">
        <w:rPr>
          <w:rFonts w:ascii="Liberation Sans" w:hAnsi="Liberation Sans" w:cs="Liberation Sans"/>
          <w:i/>
          <w:iCs/>
          <w:sz w:val="32"/>
          <w:szCs w:val="32"/>
        </w:rPr>
        <w:t>Quellen</w:t>
      </w:r>
    </w:p>
    <w:p w14:paraId="289DAF73" w14:textId="7E2AAC34" w:rsidR="00542655" w:rsidRDefault="00542655" w:rsidP="00B97E79">
      <w:pPr>
        <w:pStyle w:val="StandardWeb"/>
      </w:pPr>
      <w:r>
        <w:t xml:space="preserve">Als Quellen für diese Seite wurden die in der </w:t>
      </w:r>
      <w:hyperlink r:id="rId60" w:tgtFrame="_blank" w:history="1">
        <w:proofErr w:type="gramStart"/>
        <w:r>
          <w:rPr>
            <w:rStyle w:val="Hyperlink"/>
          </w:rPr>
          <w:t>Bibliographie</w:t>
        </w:r>
        <w:proofErr w:type="gramEnd"/>
        <w:r>
          <w:rPr>
            <w:rStyle w:val="Hyperlink"/>
          </w:rPr>
          <w:t xml:space="preserve"> zur römischen Geschichte und Literaturgeschichte</w:t>
        </w:r>
      </w:hyperlink>
      <w:r>
        <w:t xml:space="preserve"> aufgeführten Werke verwendet.</w:t>
      </w:r>
    </w:p>
    <w:p w14:paraId="73E14E08" w14:textId="6A4ECBB5" w:rsidR="00542655" w:rsidRDefault="00542655" w:rsidP="00AB77C2">
      <w:pPr>
        <w:pStyle w:val="StandardWeb"/>
      </w:pPr>
      <w:r>
        <w:t>Autor: Tilman Bechthold-Hengelhaupt</w:t>
      </w:r>
    </w:p>
    <w:p w14:paraId="6BE9D164" w14:textId="0412E616" w:rsidR="00AB77C2" w:rsidRPr="00AB77C2" w:rsidRDefault="00AB77C2" w:rsidP="00AB77C2">
      <w:pPr>
        <w:tabs>
          <w:tab w:val="left" w:pos="7152"/>
        </w:tabs>
      </w:pPr>
      <w:r>
        <w:tab/>
      </w:r>
    </w:p>
    <w:sectPr w:rsidR="00AB77C2" w:rsidRPr="00AB77C2" w:rsidSect="00E5487E">
      <w:headerReference w:type="even" r:id="rId61"/>
      <w:headerReference w:type="default" r:id="rId62"/>
      <w:footerReference w:type="even" r:id="rId63"/>
      <w:footerReference w:type="default" r:id="rId64"/>
      <w:headerReference w:type="first" r:id="rId65"/>
      <w:footerReference w:type="first" r:id="rId66"/>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0B91D" w14:textId="77777777" w:rsidR="000D7A69" w:rsidRDefault="000D7A69">
      <w:r>
        <w:separator/>
      </w:r>
    </w:p>
  </w:endnote>
  <w:endnote w:type="continuationSeparator" w:id="0">
    <w:p w14:paraId="302AD98B" w14:textId="77777777" w:rsidR="000D7A69" w:rsidRDefault="000D7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Liberation Serif">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009F" w14:textId="77777777" w:rsidR="00C3358A" w:rsidRDefault="00C335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33E2" w14:textId="443F922A"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5D2A4E">
      <w:rPr>
        <w:sz w:val="16"/>
        <w:szCs w:val="16"/>
      </w:rPr>
      <w:t xml:space="preserve">, Fachredaktion </w:t>
    </w:r>
    <w:r w:rsidR="00D9342F">
      <w:rPr>
        <w:sz w:val="16"/>
        <w:szCs w:val="16"/>
      </w:rPr>
      <w:t xml:space="preserve">Latein (auch über </w:t>
    </w:r>
    <w:hyperlink r:id="rId3" w:history="1">
      <w:r w:rsidR="00D9342F" w:rsidRPr="00AA0B3B">
        <w:rPr>
          <w:rStyle w:val="Hyperlink"/>
          <w:sz w:val="16"/>
          <w:szCs w:val="16"/>
        </w:rPr>
        <w:t>www.latein-bw.de</w:t>
      </w:r>
    </w:hyperlink>
    <w:r w:rsidR="00D9342F">
      <w:rPr>
        <w:sz w:val="16"/>
        <w:szCs w:val="16"/>
      </w:rPr>
      <w:t xml:space="preserve"> zu erreichen)</w:t>
    </w:r>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4"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76D3642D"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F771BC">
      <w:rPr>
        <w:noProof/>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F771BC">
      <w:rPr>
        <w:noProof/>
        <w:sz w:val="20"/>
        <w:szCs w:val="16"/>
      </w:rPr>
      <w:t>1</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C5B47" w14:textId="77777777" w:rsidR="00C3358A" w:rsidRDefault="00C335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DCD1" w14:textId="77777777" w:rsidR="000D7A69" w:rsidRDefault="000D7A69">
      <w:r>
        <w:rPr>
          <w:color w:val="000000"/>
        </w:rPr>
        <w:separator/>
      </w:r>
    </w:p>
  </w:footnote>
  <w:footnote w:type="continuationSeparator" w:id="0">
    <w:p w14:paraId="2B77B996" w14:textId="77777777" w:rsidR="000D7A69" w:rsidRDefault="000D7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F0B74" w14:textId="77777777" w:rsidR="00C3358A" w:rsidRDefault="00C335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61FD" w14:textId="4E5A0DC2" w:rsidR="001606BD" w:rsidRDefault="00AC3704">
    <w:pPr>
      <w:pStyle w:val="Kopfzeile"/>
      <w:spacing w:after="720"/>
      <w:ind w:left="142"/>
    </w:pPr>
    <w:r>
      <w:rPr>
        <w:noProof/>
        <w:lang w:bidi="lo-LA"/>
      </w:rPr>
      <w:drawing>
        <wp:anchor distT="0" distB="0" distL="114300" distR="114300" simplePos="0" relativeHeight="251666432" behindDoc="0" locked="0" layoutInCell="1" allowOverlap="1" wp14:anchorId="1B85CD8E" wp14:editId="3289AD0A">
          <wp:simplePos x="0" y="0"/>
          <wp:positionH relativeFrom="column">
            <wp:posOffset>4712970</wp:posOffset>
          </wp:positionH>
          <wp:positionV relativeFrom="paragraph">
            <wp:posOffset>208280</wp:posOffset>
          </wp:positionV>
          <wp:extent cx="1283335" cy="403860"/>
          <wp:effectExtent l="0" t="0" r="0" b="0"/>
          <wp:wrapSquare wrapText="bothSides"/>
          <wp:docPr id="3" name="1">
            <a:hlinkClick xmlns:a="http://schemas.openxmlformats.org/drawingml/2006/main" r:id="rId1"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l="6217" t="13964" r="6417" b="13964"/>
                  <a:stretch>
                    <a:fillRect/>
                  </a:stretch>
                </pic:blipFill>
                <pic:spPr>
                  <a:xfrm>
                    <a:off x="0" y="0"/>
                    <a:ext cx="1283335" cy="40386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7C0486">
      <w:rPr>
        <w:noProof/>
        <w:lang w:bidi="lo-LA"/>
      </w:rPr>
      <mc:AlternateContent>
        <mc:Choice Requires="wps">
          <w:drawing>
            <wp:anchor distT="0" distB="0" distL="114300" distR="114300" simplePos="0" relativeHeight="251664384" behindDoc="1" locked="0" layoutInCell="1" allowOverlap="1" wp14:anchorId="454752F4" wp14:editId="5C4630BB">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454752F4"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" filled="f" stroked="f">
              <v:textbo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sidR="007C0486">
      <w:rPr>
        <w:noProof/>
        <w:lang w:bidi="lo-LA"/>
      </w:rPr>
      <w:drawing>
        <wp:anchor distT="0" distB="0" distL="114300" distR="114300" simplePos="0" relativeHeight="251667456" behindDoc="1" locked="0" layoutInCell="1" allowOverlap="1" wp14:anchorId="0BC86AD3" wp14:editId="22B6E1EB">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3"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a:stretch>
                    <a:fillRect/>
                  </a:stretch>
                </pic:blipFill>
                <pic:spPr>
                  <a:xfrm>
                    <a:off x="0" y="0"/>
                    <a:ext cx="396360" cy="554400"/>
                  </a:xfrm>
                  <a:prstGeom prst="rect">
                    <a:avLst/>
                  </a:prstGeom>
                  <a:noFill/>
                  <a:ln>
                    <a:noFill/>
                    <a:prstDash/>
                  </a:ln>
                </pic:spPr>
              </pic:pic>
            </a:graphicData>
          </a:graphic>
        </wp:anchor>
      </w:drawing>
    </w:r>
    <w:r w:rsidR="007C0486">
      <w:rPr>
        <w:noProof/>
        <w:lang w:bidi="lo-LA"/>
      </w:rPr>
      <w:drawing>
        <wp:anchor distT="0" distB="0" distL="114300" distR="114300" simplePos="0" relativeHeight="251665408" behindDoc="0" locked="0" layoutInCell="1" allowOverlap="1" wp14:anchorId="5D05AFDD" wp14:editId="7C76AA2D">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5"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p>
  <w:p w14:paraId="6F2E2024" w14:textId="77777777" w:rsidR="001606BD" w:rsidRPr="00A756B8" w:rsidRDefault="00000000">
    <w:pPr>
      <w:pStyle w:val="Kopfzeile"/>
      <w:pBdr>
        <w:bottom w:val="single" w:sz="4" w:space="1" w:color="000000"/>
      </w:pBd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30A34" w14:textId="77777777" w:rsidR="00C3358A" w:rsidRDefault="00C335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6BA"/>
    <w:multiLevelType w:val="multilevel"/>
    <w:tmpl w:val="F928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4184C"/>
    <w:multiLevelType w:val="multilevel"/>
    <w:tmpl w:val="A4AE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A0567"/>
    <w:multiLevelType w:val="multilevel"/>
    <w:tmpl w:val="DDE6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F1FD7"/>
    <w:multiLevelType w:val="multilevel"/>
    <w:tmpl w:val="6596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644C5"/>
    <w:multiLevelType w:val="multilevel"/>
    <w:tmpl w:val="1934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910AE"/>
    <w:multiLevelType w:val="multilevel"/>
    <w:tmpl w:val="3F18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0251AA"/>
    <w:multiLevelType w:val="multilevel"/>
    <w:tmpl w:val="448E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74701"/>
    <w:multiLevelType w:val="multilevel"/>
    <w:tmpl w:val="4F7E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AB799A"/>
    <w:multiLevelType w:val="multilevel"/>
    <w:tmpl w:val="C3C4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D39B4"/>
    <w:multiLevelType w:val="multilevel"/>
    <w:tmpl w:val="D274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F47EF1"/>
    <w:multiLevelType w:val="hybridMultilevel"/>
    <w:tmpl w:val="6A20E4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20565B"/>
    <w:multiLevelType w:val="multilevel"/>
    <w:tmpl w:val="3336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6106EC"/>
    <w:multiLevelType w:val="multilevel"/>
    <w:tmpl w:val="569C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2C003E"/>
    <w:multiLevelType w:val="hybridMultilevel"/>
    <w:tmpl w:val="EF5431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4E00C4"/>
    <w:multiLevelType w:val="multilevel"/>
    <w:tmpl w:val="240E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493A4C"/>
    <w:multiLevelType w:val="multilevel"/>
    <w:tmpl w:val="7AD2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A2310F"/>
    <w:multiLevelType w:val="multilevel"/>
    <w:tmpl w:val="845C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895E7F"/>
    <w:multiLevelType w:val="hybridMultilevel"/>
    <w:tmpl w:val="F3A8023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2F61E54"/>
    <w:multiLevelType w:val="multilevel"/>
    <w:tmpl w:val="559A4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7F28C8"/>
    <w:multiLevelType w:val="multilevel"/>
    <w:tmpl w:val="8598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5D59DD"/>
    <w:multiLevelType w:val="multilevel"/>
    <w:tmpl w:val="94BC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F61C17"/>
    <w:multiLevelType w:val="multilevel"/>
    <w:tmpl w:val="9D5A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2C7748"/>
    <w:multiLevelType w:val="multilevel"/>
    <w:tmpl w:val="8822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300B43"/>
    <w:multiLevelType w:val="multilevel"/>
    <w:tmpl w:val="93FA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B92455"/>
    <w:multiLevelType w:val="multilevel"/>
    <w:tmpl w:val="FFB8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5AF948E0"/>
    <w:multiLevelType w:val="multilevel"/>
    <w:tmpl w:val="172C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FA4958"/>
    <w:multiLevelType w:val="multilevel"/>
    <w:tmpl w:val="01D6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9344BF"/>
    <w:multiLevelType w:val="multilevel"/>
    <w:tmpl w:val="4F94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541C56"/>
    <w:multiLevelType w:val="multilevel"/>
    <w:tmpl w:val="A3EA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CA587B"/>
    <w:multiLevelType w:val="multilevel"/>
    <w:tmpl w:val="42F2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CD1AF9"/>
    <w:multiLevelType w:val="multilevel"/>
    <w:tmpl w:val="0B7E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DE51C4"/>
    <w:multiLevelType w:val="multilevel"/>
    <w:tmpl w:val="33E4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272D59"/>
    <w:multiLevelType w:val="multilevel"/>
    <w:tmpl w:val="E3DC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7149C8"/>
    <w:multiLevelType w:val="multilevel"/>
    <w:tmpl w:val="9514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D9258B"/>
    <w:multiLevelType w:val="multilevel"/>
    <w:tmpl w:val="2410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034398">
    <w:abstractNumId w:val="25"/>
  </w:num>
  <w:num w:numId="2" w16cid:durableId="2029485042">
    <w:abstractNumId w:val="7"/>
  </w:num>
  <w:num w:numId="3" w16cid:durableId="4946025">
    <w:abstractNumId w:val="9"/>
  </w:num>
  <w:num w:numId="4" w16cid:durableId="786198022">
    <w:abstractNumId w:val="30"/>
  </w:num>
  <w:num w:numId="5" w16cid:durableId="1345479147">
    <w:abstractNumId w:val="28"/>
  </w:num>
  <w:num w:numId="6" w16cid:durableId="967394949">
    <w:abstractNumId w:val="12"/>
  </w:num>
  <w:num w:numId="7" w16cid:durableId="641816626">
    <w:abstractNumId w:val="32"/>
  </w:num>
  <w:num w:numId="8" w16cid:durableId="1181774400">
    <w:abstractNumId w:val="1"/>
  </w:num>
  <w:num w:numId="9" w16cid:durableId="1336417133">
    <w:abstractNumId w:val="35"/>
  </w:num>
  <w:num w:numId="10" w16cid:durableId="1790389595">
    <w:abstractNumId w:val="19"/>
  </w:num>
  <w:num w:numId="11" w16cid:durableId="1049035245">
    <w:abstractNumId w:val="11"/>
  </w:num>
  <w:num w:numId="12" w16cid:durableId="428937735">
    <w:abstractNumId w:val="16"/>
  </w:num>
  <w:num w:numId="13" w16cid:durableId="1474835325">
    <w:abstractNumId w:val="23"/>
  </w:num>
  <w:num w:numId="14" w16cid:durableId="1876387160">
    <w:abstractNumId w:val="8"/>
  </w:num>
  <w:num w:numId="15" w16cid:durableId="1034891460">
    <w:abstractNumId w:val="34"/>
  </w:num>
  <w:num w:numId="16" w16cid:durableId="169759219">
    <w:abstractNumId w:val="0"/>
  </w:num>
  <w:num w:numId="17" w16cid:durableId="434600631">
    <w:abstractNumId w:val="2"/>
  </w:num>
  <w:num w:numId="18" w16cid:durableId="61878590">
    <w:abstractNumId w:val="4"/>
  </w:num>
  <w:num w:numId="19" w16cid:durableId="202448959">
    <w:abstractNumId w:val="29"/>
  </w:num>
  <w:num w:numId="20" w16cid:durableId="1506945244">
    <w:abstractNumId w:val="5"/>
  </w:num>
  <w:num w:numId="21" w16cid:durableId="799229973">
    <w:abstractNumId w:val="14"/>
  </w:num>
  <w:num w:numId="22" w16cid:durableId="545944314">
    <w:abstractNumId w:val="22"/>
  </w:num>
  <w:num w:numId="23" w16cid:durableId="937297059">
    <w:abstractNumId w:val="33"/>
  </w:num>
  <w:num w:numId="24" w16cid:durableId="2109884123">
    <w:abstractNumId w:val="27"/>
  </w:num>
  <w:num w:numId="25" w16cid:durableId="1992052458">
    <w:abstractNumId w:val="20"/>
  </w:num>
  <w:num w:numId="26" w16cid:durableId="566380319">
    <w:abstractNumId w:val="6"/>
  </w:num>
  <w:num w:numId="27" w16cid:durableId="752505662">
    <w:abstractNumId w:val="21"/>
  </w:num>
  <w:num w:numId="28" w16cid:durableId="984702419">
    <w:abstractNumId w:val="31"/>
  </w:num>
  <w:num w:numId="29" w16cid:durableId="754015853">
    <w:abstractNumId w:val="26"/>
  </w:num>
  <w:num w:numId="30" w16cid:durableId="890771139">
    <w:abstractNumId w:val="15"/>
  </w:num>
  <w:num w:numId="31" w16cid:durableId="1808860156">
    <w:abstractNumId w:val="18"/>
  </w:num>
  <w:num w:numId="32" w16cid:durableId="90636323">
    <w:abstractNumId w:val="24"/>
  </w:num>
  <w:num w:numId="33" w16cid:durableId="1561332218">
    <w:abstractNumId w:val="3"/>
  </w:num>
  <w:num w:numId="34" w16cid:durableId="2079016679">
    <w:abstractNumId w:val="17"/>
  </w:num>
  <w:num w:numId="35" w16cid:durableId="1772823721">
    <w:abstractNumId w:val="10"/>
  </w:num>
  <w:num w:numId="36" w16cid:durableId="1775008600">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FC3"/>
    <w:rsid w:val="000029CA"/>
    <w:rsid w:val="0001245B"/>
    <w:rsid w:val="00017585"/>
    <w:rsid w:val="00020330"/>
    <w:rsid w:val="000438E4"/>
    <w:rsid w:val="000C75F4"/>
    <w:rsid w:val="000D7A69"/>
    <w:rsid w:val="000F11FF"/>
    <w:rsid w:val="00110CBC"/>
    <w:rsid w:val="001502C2"/>
    <w:rsid w:val="0015363F"/>
    <w:rsid w:val="00163CD8"/>
    <w:rsid w:val="00171551"/>
    <w:rsid w:val="001718B9"/>
    <w:rsid w:val="001D3841"/>
    <w:rsid w:val="00203393"/>
    <w:rsid w:val="00230483"/>
    <w:rsid w:val="0023656E"/>
    <w:rsid w:val="002407D7"/>
    <w:rsid w:val="002413FE"/>
    <w:rsid w:val="00257934"/>
    <w:rsid w:val="0026425C"/>
    <w:rsid w:val="00271B87"/>
    <w:rsid w:val="00287703"/>
    <w:rsid w:val="002B5FFA"/>
    <w:rsid w:val="002C2F5B"/>
    <w:rsid w:val="002E465A"/>
    <w:rsid w:val="002F2145"/>
    <w:rsid w:val="00301860"/>
    <w:rsid w:val="00302A4B"/>
    <w:rsid w:val="0030616A"/>
    <w:rsid w:val="00312FD7"/>
    <w:rsid w:val="003466E8"/>
    <w:rsid w:val="00374B21"/>
    <w:rsid w:val="0038739A"/>
    <w:rsid w:val="00390FFF"/>
    <w:rsid w:val="00394C0F"/>
    <w:rsid w:val="003D332C"/>
    <w:rsid w:val="003D4AED"/>
    <w:rsid w:val="003E0776"/>
    <w:rsid w:val="003E3562"/>
    <w:rsid w:val="00403A78"/>
    <w:rsid w:val="004053F3"/>
    <w:rsid w:val="00460FBF"/>
    <w:rsid w:val="00471436"/>
    <w:rsid w:val="004930F1"/>
    <w:rsid w:val="004B5081"/>
    <w:rsid w:val="004D3DDF"/>
    <w:rsid w:val="004D6FF6"/>
    <w:rsid w:val="004E1888"/>
    <w:rsid w:val="004E28B6"/>
    <w:rsid w:val="00506DDF"/>
    <w:rsid w:val="00513E1E"/>
    <w:rsid w:val="00542655"/>
    <w:rsid w:val="00556881"/>
    <w:rsid w:val="00563EE3"/>
    <w:rsid w:val="00570BCA"/>
    <w:rsid w:val="005937A4"/>
    <w:rsid w:val="005B168E"/>
    <w:rsid w:val="005B44E1"/>
    <w:rsid w:val="005B4BF9"/>
    <w:rsid w:val="005B6F27"/>
    <w:rsid w:val="005C6DCB"/>
    <w:rsid w:val="005D2A4E"/>
    <w:rsid w:val="005F056F"/>
    <w:rsid w:val="00621CA7"/>
    <w:rsid w:val="0063216C"/>
    <w:rsid w:val="006C5E5A"/>
    <w:rsid w:val="006F48A4"/>
    <w:rsid w:val="006F6620"/>
    <w:rsid w:val="0074723F"/>
    <w:rsid w:val="00771BE5"/>
    <w:rsid w:val="007C0486"/>
    <w:rsid w:val="007C2E6A"/>
    <w:rsid w:val="007F28F0"/>
    <w:rsid w:val="007F5EBD"/>
    <w:rsid w:val="007F63E6"/>
    <w:rsid w:val="008029E6"/>
    <w:rsid w:val="0082147A"/>
    <w:rsid w:val="00827591"/>
    <w:rsid w:val="0082796E"/>
    <w:rsid w:val="008316CF"/>
    <w:rsid w:val="00841BEE"/>
    <w:rsid w:val="008472AA"/>
    <w:rsid w:val="00882A7D"/>
    <w:rsid w:val="008A1D32"/>
    <w:rsid w:val="008C0EC6"/>
    <w:rsid w:val="008D20A0"/>
    <w:rsid w:val="008E524C"/>
    <w:rsid w:val="00910B00"/>
    <w:rsid w:val="00965962"/>
    <w:rsid w:val="00982ABA"/>
    <w:rsid w:val="00995777"/>
    <w:rsid w:val="009A2297"/>
    <w:rsid w:val="009C2399"/>
    <w:rsid w:val="009F331F"/>
    <w:rsid w:val="00A10E0F"/>
    <w:rsid w:val="00A25960"/>
    <w:rsid w:val="00A2607A"/>
    <w:rsid w:val="00A301E9"/>
    <w:rsid w:val="00A309D6"/>
    <w:rsid w:val="00A358FE"/>
    <w:rsid w:val="00A5554F"/>
    <w:rsid w:val="00A756B8"/>
    <w:rsid w:val="00A95839"/>
    <w:rsid w:val="00AA136F"/>
    <w:rsid w:val="00AB77C2"/>
    <w:rsid w:val="00AC3427"/>
    <w:rsid w:val="00AC3704"/>
    <w:rsid w:val="00AC53E5"/>
    <w:rsid w:val="00AC7122"/>
    <w:rsid w:val="00AD7361"/>
    <w:rsid w:val="00B079D6"/>
    <w:rsid w:val="00B309A3"/>
    <w:rsid w:val="00B43196"/>
    <w:rsid w:val="00B51D05"/>
    <w:rsid w:val="00B774AD"/>
    <w:rsid w:val="00B814D9"/>
    <w:rsid w:val="00B9253B"/>
    <w:rsid w:val="00B97E79"/>
    <w:rsid w:val="00BD1F4A"/>
    <w:rsid w:val="00C02044"/>
    <w:rsid w:val="00C07BAE"/>
    <w:rsid w:val="00C1743D"/>
    <w:rsid w:val="00C3358A"/>
    <w:rsid w:val="00C577AD"/>
    <w:rsid w:val="00C67037"/>
    <w:rsid w:val="00C73556"/>
    <w:rsid w:val="00C854A0"/>
    <w:rsid w:val="00CA60C7"/>
    <w:rsid w:val="00CD445B"/>
    <w:rsid w:val="00CE1D47"/>
    <w:rsid w:val="00D37BBC"/>
    <w:rsid w:val="00D42FC3"/>
    <w:rsid w:val="00D4672C"/>
    <w:rsid w:val="00D52C0D"/>
    <w:rsid w:val="00D63A83"/>
    <w:rsid w:val="00D66DDD"/>
    <w:rsid w:val="00D77675"/>
    <w:rsid w:val="00D8530D"/>
    <w:rsid w:val="00D86BF0"/>
    <w:rsid w:val="00D9342F"/>
    <w:rsid w:val="00DA209F"/>
    <w:rsid w:val="00DA4CF7"/>
    <w:rsid w:val="00DC3371"/>
    <w:rsid w:val="00DD3631"/>
    <w:rsid w:val="00E15366"/>
    <w:rsid w:val="00E1610E"/>
    <w:rsid w:val="00E47A82"/>
    <w:rsid w:val="00E5487E"/>
    <w:rsid w:val="00E864F2"/>
    <w:rsid w:val="00E87D87"/>
    <w:rsid w:val="00EA4A4E"/>
    <w:rsid w:val="00ED0A3F"/>
    <w:rsid w:val="00EF103F"/>
    <w:rsid w:val="00EF5220"/>
    <w:rsid w:val="00EF7A3C"/>
    <w:rsid w:val="00F01EA1"/>
    <w:rsid w:val="00F32E26"/>
    <w:rsid w:val="00F416C7"/>
    <w:rsid w:val="00F62A4B"/>
    <w:rsid w:val="00F7292E"/>
    <w:rsid w:val="00F771BC"/>
    <w:rsid w:val="00F85569"/>
    <w:rsid w:val="00F95086"/>
    <w:rsid w:val="00FA6414"/>
    <w:rsid w:val="00FB7D32"/>
    <w:rsid w:val="00FD0897"/>
    <w:rsid w:val="00FD6901"/>
    <w:rsid w:val="00FE1303"/>
    <w:rsid w:val="00FF6B0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6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017585"/>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171551"/>
    <w:pPr>
      <w:keepNext/>
      <w:keepLines/>
      <w:spacing w:before="200" w:after="24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link w:val="berschrift3Zchn"/>
    <w:uiPriority w:val="9"/>
    <w:qFormat/>
    <w:rsid w:val="00B774AD"/>
    <w:pPr>
      <w:keepNext/>
      <w:suppressAutoHyphens w:val="0"/>
      <w:autoSpaceDN/>
      <w:spacing w:before="113" w:after="119" w:line="240" w:lineRule="auto"/>
      <w:textAlignment w:val="auto"/>
      <w:outlineLvl w:val="2"/>
    </w:pPr>
    <w:rPr>
      <w:rFonts w:ascii="Times New Roman" w:hAnsi="Times New Roman"/>
      <w:b/>
      <w:bCs/>
      <w:sz w:val="27"/>
      <w:szCs w:val="27"/>
    </w:rPr>
  </w:style>
  <w:style w:type="paragraph" w:styleId="berschrift4">
    <w:name w:val="heading 4"/>
    <w:basedOn w:val="Standard"/>
    <w:link w:val="berschrift4Zchn"/>
    <w:uiPriority w:val="9"/>
    <w:qFormat/>
    <w:rsid w:val="00B774AD"/>
    <w:pPr>
      <w:keepNext/>
      <w:suppressAutoHyphens w:val="0"/>
      <w:autoSpaceDN/>
      <w:spacing w:before="119" w:after="119" w:line="240" w:lineRule="auto"/>
      <w:textAlignment w:val="auto"/>
      <w:outlineLvl w:val="3"/>
    </w:pPr>
    <w:rPr>
      <w:rFonts w:ascii="Times New Roman" w:hAnsi="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5D2A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Zchn">
    <w:name w:val="Titel Zchn"/>
    <w:basedOn w:val="Absatz-Standardschriftart"/>
    <w:link w:val="Titel"/>
    <w:uiPriority w:val="10"/>
    <w:rsid w:val="005D2A4E"/>
    <w:rPr>
      <w:rFonts w:asciiTheme="majorHAnsi" w:eastAsiaTheme="majorEastAsia" w:hAnsiTheme="majorHAnsi" w:cstheme="majorBidi"/>
      <w:color w:val="17365D" w:themeColor="text2" w:themeShade="BF"/>
      <w:spacing w:val="5"/>
      <w:kern w:val="28"/>
      <w:sz w:val="44"/>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171551"/>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NichtaufgelsteErwhnung1">
    <w:name w:val="Nicht aufgelöste Erwähnung1"/>
    <w:basedOn w:val="Absatz-Standardschriftart"/>
    <w:uiPriority w:val="99"/>
    <w:semiHidden/>
    <w:unhideWhenUsed/>
    <w:rsid w:val="00B309A3"/>
    <w:rPr>
      <w:color w:val="605E5C"/>
      <w:shd w:val="clear" w:color="auto" w:fill="E1DFDD"/>
    </w:rPr>
  </w:style>
  <w:style w:type="character" w:styleId="NichtaufgelsteErwhnung">
    <w:name w:val="Unresolved Mention"/>
    <w:basedOn w:val="Absatz-Standardschriftart"/>
    <w:uiPriority w:val="99"/>
    <w:semiHidden/>
    <w:unhideWhenUsed/>
    <w:rsid w:val="00D9342F"/>
    <w:rPr>
      <w:color w:val="605E5C"/>
      <w:shd w:val="clear" w:color="auto" w:fill="E1DFDD"/>
    </w:rPr>
  </w:style>
  <w:style w:type="character" w:customStyle="1" w:styleId="berschrift3Zchn">
    <w:name w:val="Überschrift 3 Zchn"/>
    <w:basedOn w:val="Absatz-Standardschriftart"/>
    <w:link w:val="berschrift3"/>
    <w:uiPriority w:val="9"/>
    <w:rsid w:val="00B774AD"/>
    <w:rPr>
      <w:rFonts w:ascii="Times New Roman" w:hAnsi="Times New Roman"/>
      <w:b/>
      <w:bCs/>
      <w:sz w:val="27"/>
      <w:szCs w:val="27"/>
    </w:rPr>
  </w:style>
  <w:style w:type="character" w:customStyle="1" w:styleId="berschrift4Zchn">
    <w:name w:val="Überschrift 4 Zchn"/>
    <w:basedOn w:val="Absatz-Standardschriftart"/>
    <w:link w:val="berschrift4"/>
    <w:uiPriority w:val="9"/>
    <w:rsid w:val="00B774AD"/>
    <w:rPr>
      <w:rFonts w:ascii="Times New Roman" w:hAnsi="Times New Roman"/>
      <w:b/>
      <w:bCs/>
      <w:szCs w:val="24"/>
    </w:rPr>
  </w:style>
  <w:style w:type="paragraph" w:styleId="StandardWeb">
    <w:name w:val="Normal (Web)"/>
    <w:aliases w:val="Standard LBS"/>
    <w:basedOn w:val="Standard"/>
    <w:autoRedefine/>
    <w:uiPriority w:val="99"/>
    <w:unhideWhenUsed/>
    <w:qFormat/>
    <w:rsid w:val="00B97E79"/>
    <w:pPr>
      <w:suppressAutoHyphens w:val="0"/>
      <w:autoSpaceDN/>
      <w:spacing w:after="240"/>
      <w:textAlignment w:val="auto"/>
    </w:pPr>
    <w:rPr>
      <w:rFonts w:ascii="Arial" w:hAnsi="Arial"/>
      <w:sz w:val="22"/>
    </w:rPr>
  </w:style>
  <w:style w:type="paragraph" w:styleId="Zitat">
    <w:name w:val="Quote"/>
    <w:basedOn w:val="Standard"/>
    <w:next w:val="Standard"/>
    <w:link w:val="ZitatZchn"/>
    <w:uiPriority w:val="29"/>
    <w:qFormat/>
    <w:rsid w:val="00B97E79"/>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97E7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47693">
      <w:bodyDiv w:val="1"/>
      <w:marLeft w:val="0"/>
      <w:marRight w:val="0"/>
      <w:marTop w:val="0"/>
      <w:marBottom w:val="0"/>
      <w:divBdr>
        <w:top w:val="none" w:sz="0" w:space="0" w:color="auto"/>
        <w:left w:val="none" w:sz="0" w:space="0" w:color="auto"/>
        <w:bottom w:val="none" w:sz="0" w:space="0" w:color="auto"/>
        <w:right w:val="none" w:sz="0" w:space="0" w:color="auto"/>
      </w:divBdr>
    </w:div>
    <w:div w:id="98647268">
      <w:bodyDiv w:val="1"/>
      <w:marLeft w:val="0"/>
      <w:marRight w:val="0"/>
      <w:marTop w:val="0"/>
      <w:marBottom w:val="0"/>
      <w:divBdr>
        <w:top w:val="none" w:sz="0" w:space="0" w:color="auto"/>
        <w:left w:val="none" w:sz="0" w:space="0" w:color="auto"/>
        <w:bottom w:val="none" w:sz="0" w:space="0" w:color="auto"/>
        <w:right w:val="none" w:sz="0" w:space="0" w:color="auto"/>
      </w:divBdr>
    </w:div>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1102921489">
      <w:bodyDiv w:val="1"/>
      <w:marLeft w:val="0"/>
      <w:marRight w:val="0"/>
      <w:marTop w:val="0"/>
      <w:marBottom w:val="0"/>
      <w:divBdr>
        <w:top w:val="none" w:sz="0" w:space="0" w:color="auto"/>
        <w:left w:val="none" w:sz="0" w:space="0" w:color="auto"/>
        <w:bottom w:val="none" w:sz="0" w:space="0" w:color="auto"/>
        <w:right w:val="none" w:sz="0" w:space="0" w:color="auto"/>
      </w:divBdr>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366099423">
      <w:bodyDiv w:val="1"/>
      <w:marLeft w:val="0"/>
      <w:marRight w:val="0"/>
      <w:marTop w:val="0"/>
      <w:marBottom w:val="0"/>
      <w:divBdr>
        <w:top w:val="none" w:sz="0" w:space="0" w:color="auto"/>
        <w:left w:val="none" w:sz="0" w:space="0" w:color="auto"/>
        <w:bottom w:val="none" w:sz="0" w:space="0" w:color="auto"/>
        <w:right w:val="none" w:sz="0" w:space="0" w:color="auto"/>
      </w:divBdr>
    </w:div>
    <w:div w:id="1415786664">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36282620">
      <w:bodyDiv w:val="1"/>
      <w:marLeft w:val="0"/>
      <w:marRight w:val="0"/>
      <w:marTop w:val="0"/>
      <w:marBottom w:val="0"/>
      <w:divBdr>
        <w:top w:val="none" w:sz="0" w:space="0" w:color="auto"/>
        <w:left w:val="none" w:sz="0" w:space="0" w:color="auto"/>
        <w:bottom w:val="none" w:sz="0" w:space="0" w:color="auto"/>
        <w:right w:val="none" w:sz="0" w:space="0" w:color="auto"/>
      </w:divBdr>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 w:id="2096004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wikipedia.org/wiki/Antoninische_Pest" TargetMode="External"/><Relationship Id="rId21" Type="http://schemas.openxmlformats.org/officeDocument/2006/relationships/hyperlink" Target="https://hagalil.com/judentum/geschichte/vespasian.htm" TargetMode="External"/><Relationship Id="rId34" Type="http://schemas.openxmlformats.org/officeDocument/2006/relationships/hyperlink" Target="https://www.latein-unterrichten.de/unterricht/lektuere/tacitus/die-freiheit-des-thrasea-paetus/texte/" TargetMode="External"/><Relationship Id="rId42" Type="http://schemas.openxmlformats.org/officeDocument/2006/relationships/hyperlink" Target="https://de.wikipedia.org/wiki/Apuleius" TargetMode="External"/><Relationship Id="rId47" Type="http://schemas.openxmlformats.org/officeDocument/2006/relationships/hyperlink" Target="https://de.wikipedia.org/wiki/Commodus" TargetMode="External"/><Relationship Id="rId50" Type="http://schemas.openxmlformats.org/officeDocument/2006/relationships/hyperlink" Target="https://de.wikipedia.org/wiki/Caracalla" TargetMode="External"/><Relationship Id="rId55" Type="http://schemas.openxmlformats.org/officeDocument/2006/relationships/hyperlink" Target="https://de.wikipedia.org/wiki/Limesfall"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hyperlink" Target="https://www.schule-bw.de/faecher-und-schularten/sprachen-und-literatur/latein/antike-kultur/roemische-geschichte/daten/roemische-geschichte-tabelle.html" TargetMode="External"/><Relationship Id="rId2" Type="http://schemas.openxmlformats.org/officeDocument/2006/relationships/styles" Target="styles.xml"/><Relationship Id="rId16" Type="http://schemas.openxmlformats.org/officeDocument/2006/relationships/hyperlink" Target="https://www.zdf.de/dokumentation/terra-x/der-letzte-tag-von-pompeji-100.html" TargetMode="External"/><Relationship Id="rId29" Type="http://schemas.openxmlformats.org/officeDocument/2006/relationships/hyperlink" Target="https://de.wikipedia.org/wiki/Bar-Kochba-Aufstand" TargetMode="External"/><Relationship Id="rId11" Type="http://schemas.openxmlformats.org/officeDocument/2006/relationships/hyperlink" Target="https://www.schule-bw.de/resolveuid/162755b572df4167b88e15eef2c95f34" TargetMode="External"/><Relationship Id="rId24" Type="http://schemas.openxmlformats.org/officeDocument/2006/relationships/hyperlink" Target="https://de.wikipedia.org/wiki/Selbstbetrachtungen" TargetMode="External"/><Relationship Id="rId32" Type="http://schemas.openxmlformats.org/officeDocument/2006/relationships/hyperlink" Target="https://de.wikipedia.org/wiki/Markomannenkriege" TargetMode="External"/><Relationship Id="rId37" Type="http://schemas.openxmlformats.org/officeDocument/2006/relationships/hyperlink" Target="https://latin.packhum.org/loc/1348/1/0" TargetMode="External"/><Relationship Id="rId40" Type="http://schemas.openxmlformats.org/officeDocument/2006/relationships/hyperlink" Target="http://www.zeno.org/Literatur/M/Suetonius+Tranquillus,+Gaius/Biographien/Die+zw%C3%B6lf+Caesaren" TargetMode="External"/><Relationship Id="rId45" Type="http://schemas.openxmlformats.org/officeDocument/2006/relationships/hyperlink" Target="https://de.wikipedia.org/wiki/Noctes_Atticae" TargetMode="External"/><Relationship Id="rId53" Type="http://schemas.openxmlformats.org/officeDocument/2006/relationships/hyperlink" Target="https://www.planet-wissen.de/kultur/voelker/roemer_in_germanien/pwiederlimes100.html" TargetMode="External"/><Relationship Id="rId58" Type="http://schemas.openxmlformats.org/officeDocument/2006/relationships/hyperlink" Target="https://bkv.unifr.ch/works?authorName=Tertullian" TargetMode="External"/><Relationship Id="rId66"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image" Target="media/image1.jpeg"/><Relationship Id="rId14" Type="http://schemas.openxmlformats.org/officeDocument/2006/relationships/hyperlink" Target="https://www.latein-unterrichten.de/unterricht/lektuere/plinius/der-ausbruch-des-vesuvs/texte-und-bilder/" TargetMode="External"/><Relationship Id="rId22" Type="http://schemas.openxmlformats.org/officeDocument/2006/relationships/hyperlink" Target="https://lehrerfortbildung-bw.de/u_sprachlit/latein/gym/bp2016/fb6/2_berufe/02_arzt/06_martial/" TargetMode="External"/><Relationship Id="rId27" Type="http://schemas.openxmlformats.org/officeDocument/2006/relationships/hyperlink" Target="https://www.hagalil.com/judentum/geschichte/bar-kochba.htm" TargetMode="External"/><Relationship Id="rId30" Type="http://schemas.openxmlformats.org/officeDocument/2006/relationships/hyperlink" Target="https://www.planet-wissen.de/kultur/voelker/geschichte_des_juedischen_volkes/pwiediaspora100.html" TargetMode="External"/><Relationship Id="rId35" Type="http://schemas.openxmlformats.org/officeDocument/2006/relationships/hyperlink" Target="https://www.schule-bw.de/faecher-und-schularten/sprachen-und-literatur/latein/internetadressen/literatur/plinius-briefe" TargetMode="External"/><Relationship Id="rId43" Type="http://schemas.openxmlformats.org/officeDocument/2006/relationships/hyperlink" Target="https://www.gottwein.de/Lat/Apul/met.4.28.php" TargetMode="External"/><Relationship Id="rId48" Type="http://schemas.openxmlformats.org/officeDocument/2006/relationships/hyperlink" Target="https://de.wikipedia.org/wiki/Septimius_Severus" TargetMode="External"/><Relationship Id="rId56" Type="http://schemas.openxmlformats.org/officeDocument/2006/relationships/hyperlink" Target="https://de.wikipedia.org/wiki/Ulpian" TargetMode="External"/><Relationship Id="rId64" Type="http://schemas.openxmlformats.org/officeDocument/2006/relationships/footer" Target="footer2.xml"/><Relationship Id="rId8" Type="http://schemas.openxmlformats.org/officeDocument/2006/relationships/hyperlink" Target="https://www.schule-bw.de/faecher-und-schularten/sprachen-und-literatur/latein/antike-kultur/roemische-geschichte/downloadbereich" TargetMode="External"/><Relationship Id="rId51"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www.schule-bw.de/faecher-und-schularten/sprachen-und-literatur/latein/antike-kultur/roemische-geschichte/daten/roemische-geschichte-tabelle.html" TargetMode="External"/><Relationship Id="rId17" Type="http://schemas.openxmlformats.org/officeDocument/2006/relationships/hyperlink" Target="https://de.wikipedia.org/wiki/Pompeji" TargetMode="External"/><Relationship Id="rId25" Type="http://schemas.openxmlformats.org/officeDocument/2006/relationships/hyperlink" Target="https://www.derstandard.de/story/2000115623518/corona-und-die-antoninische-pest" TargetMode="External"/><Relationship Id="rId33" Type="http://schemas.openxmlformats.org/officeDocument/2006/relationships/hyperlink" Target="https://www.gottwein.de/Lat/tac00.php" TargetMode="External"/><Relationship Id="rId38" Type="http://schemas.openxmlformats.org/officeDocument/2006/relationships/hyperlink" Target="https://www.gottwein.de/Lat/Lat.Lektuere.php" TargetMode="External"/><Relationship Id="rId46" Type="http://schemas.openxmlformats.org/officeDocument/2006/relationships/hyperlink" Target="https://www.schule-bw.de/resolveuid/a3749e62434e4b5e8f34391662d0c23b" TargetMode="External"/><Relationship Id="rId59" Type="http://schemas.openxmlformats.org/officeDocument/2006/relationships/hyperlink" Target="https://www.tertullian.org/" TargetMode="External"/><Relationship Id="rId67" Type="http://schemas.openxmlformats.org/officeDocument/2006/relationships/fontTable" Target="fontTable.xml"/><Relationship Id="rId20" Type="http://schemas.openxmlformats.org/officeDocument/2006/relationships/hyperlink" Target="https://de.wikipedia.org/wiki/J%C3%BCdischer_Krieg" TargetMode="External"/><Relationship Id="rId41" Type="http://schemas.openxmlformats.org/officeDocument/2006/relationships/hyperlink" Target="https://www.projekt-gutenberg.org/apuleius/goldesel/goldesel.html" TargetMode="External"/><Relationship Id="rId54" Type="http://schemas.openxmlformats.org/officeDocument/2006/relationships/hyperlink" Target="https://www.archaeologie-online.de/artikel/2001/thema-limes/das-ende-des-limes/" TargetMode="External"/><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ehrerfortbildung-bw.de/u_sprachlit/latein/gym/bp2004/fb2/5_brief/" TargetMode="External"/><Relationship Id="rId23" Type="http://schemas.openxmlformats.org/officeDocument/2006/relationships/hyperlink" Target="https://www.latein-unterrichten.de/unterricht/lektuere/martial/wie-setzt-man-eine-pointe/konzept/" TargetMode="External"/><Relationship Id="rId28" Type="http://schemas.openxmlformats.org/officeDocument/2006/relationships/hyperlink" Target="https://hagalil.com/judentum/geschichte/bar-kochba-0.htm" TargetMode="External"/><Relationship Id="rId36" Type="http://schemas.openxmlformats.org/officeDocument/2006/relationships/hyperlink" Target="https://latein.schule.at/portale/latein/unterricht/lektuereunterricht/latein-lektuere/plinius/detail/plinius-der-juengere-christenbrief.html" TargetMode="External"/><Relationship Id="rId49" Type="http://schemas.openxmlformats.org/officeDocument/2006/relationships/hyperlink" Target="https://www.welt.de/geschichte/article119731819/" TargetMode="External"/><Relationship Id="rId57" Type="http://schemas.openxmlformats.org/officeDocument/2006/relationships/hyperlink" Target="https://de.wikipedia.org/wiki/Tertullian" TargetMode="External"/><Relationship Id="rId10" Type="http://schemas.openxmlformats.org/officeDocument/2006/relationships/hyperlink" Target="https://www.schule-bw.de/faecher-und-schularten/sprachen-und-literatur/latein/antike-kultur/roemische-geschichte/hinweise/geschichte-rom-didaktik.html" TargetMode="External"/><Relationship Id="rId31" Type="http://schemas.openxmlformats.org/officeDocument/2006/relationships/hyperlink" Target="https://de.wikipedia.org/wiki/Partherkrieg_des_Lucius_Verus" TargetMode="External"/><Relationship Id="rId44" Type="http://schemas.openxmlformats.org/officeDocument/2006/relationships/hyperlink" Target="https://latin.packhum.org/author/1212" TargetMode="External"/><Relationship Id="rId52" Type="http://schemas.openxmlformats.org/officeDocument/2006/relationships/hyperlink" Target="https://www.schule-bw.de/resolveuid/cfa5e821624e4ed58941cdc09f090963" TargetMode="External"/><Relationship Id="rId60" Type="http://schemas.openxmlformats.org/officeDocument/2006/relationships/hyperlink" Target="/resolveuid/aa7cc3224a404234b35bcfdaa6c0c7e9" TargetMode="External"/><Relationship Id="rId65"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schule-bw.de/resolveuid/0e029a78dedb41ba826998c9e1e3f247" TargetMode="External"/><Relationship Id="rId13" Type="http://schemas.openxmlformats.org/officeDocument/2006/relationships/hyperlink" Target="https://de.wikipedia.org/wiki/Vierkaiserjahr" TargetMode="External"/><Relationship Id="rId18" Type="http://schemas.openxmlformats.org/officeDocument/2006/relationships/hyperlink" Target="https://www.schule-bw.de/resolveuid/39ca91b47dd04de4834c7f21822dd605" TargetMode="External"/><Relationship Id="rId39" Type="http://schemas.openxmlformats.org/officeDocument/2006/relationships/hyperlink" Target="https://www.projekt-gutenberg.org/sueton/kaiserbi/kaiserbi.htm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km-bw.de/" TargetMode="External"/><Relationship Id="rId2" Type="http://schemas.openxmlformats.org/officeDocument/2006/relationships/image" Target="media/image3.jpg"/><Relationship Id="rId1" Type="http://schemas.openxmlformats.org/officeDocument/2006/relationships/hyperlink" Target="https://ibbw.kultus-bw.de/" TargetMode="External"/><Relationship Id="rId6" Type="http://schemas.openxmlformats.org/officeDocument/2006/relationships/image" Target="media/image5.jpg"/><Relationship Id="rId5" Type="http://schemas.openxmlformats.org/officeDocument/2006/relationships/hyperlink" Target="https://www.schule-bw.de/" TargetMode="External"/><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G:\landesbildungsserver-2022\lbs-dateien%20neu\vorlagen\uebersetzung-mit-hilfen-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uebersetzung-mit-hilfen-word.dotx</Template>
  <TotalTime>0</TotalTime>
  <Pages>11</Pages>
  <Words>3435</Words>
  <Characters>21641</Characters>
  <Application>Microsoft Office Word</Application>
  <DocSecurity>0</DocSecurity>
  <Lines>180</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2022-07-29T15:46:00Z</dcterms:created>
  <dcterms:modified xsi:type="dcterms:W3CDTF">2022-07-30T10:53:00Z</dcterms:modified>
</cp:coreProperties>
</file>