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A5D" w:rsidRDefault="005835BF" w:rsidP="00F458D1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</w:pPr>
      <w:r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 xml:space="preserve">Vocabulario: Cataluña – </w:t>
      </w:r>
      <w:r w:rsidR="004E38C1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 xml:space="preserve">la </w:t>
      </w:r>
      <w:r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>situación lingüística</w:t>
      </w:r>
    </w:p>
    <w:tbl>
      <w:tblPr>
        <w:tblStyle w:val="Tabellenraster"/>
        <w:tblpPr w:leftFromText="141" w:rightFromText="141" w:vertAnchor="text" w:horzAnchor="margin" w:tblpX="108" w:tblpY="317"/>
        <w:tblW w:w="0" w:type="auto"/>
        <w:tblLook w:val="04A0" w:firstRow="1" w:lastRow="0" w:firstColumn="1" w:lastColumn="0" w:noHBand="0" w:noVBand="1"/>
      </w:tblPr>
      <w:tblGrid>
        <w:gridCol w:w="3846"/>
        <w:gridCol w:w="3849"/>
        <w:gridCol w:w="3848"/>
        <w:gridCol w:w="3845"/>
      </w:tblGrid>
      <w:tr w:rsidR="008508EA" w:rsidRPr="00761F87" w:rsidTr="005835BF">
        <w:trPr>
          <w:trHeight w:val="283"/>
        </w:trPr>
        <w:tc>
          <w:tcPr>
            <w:tcW w:w="3846" w:type="dxa"/>
            <w:tcBorders>
              <w:bottom w:val="single" w:sz="4" w:space="0" w:color="auto"/>
              <w:right w:val="single" w:sz="4" w:space="0" w:color="auto"/>
            </w:tcBorders>
          </w:tcPr>
          <w:p w:rsidR="008508EA" w:rsidRPr="00E315AF" w:rsidRDefault="008508EA" w:rsidP="00E315AF">
            <w:pPr>
              <w:rPr>
                <w:rFonts w:asciiTheme="minorHAnsi" w:hAnsiTheme="minorHAnsi" w:cstheme="minorHAnsi"/>
                <w:b/>
                <w:lang w:val="es-ES"/>
              </w:rPr>
            </w:pPr>
            <w:bookmarkStart w:id="0" w:name="_GoBack" w:colFirst="0" w:colLast="4"/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la función de la lengua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8508EA" w:rsidRPr="00725EE3" w:rsidRDefault="008508EA" w:rsidP="00E315AF">
            <w:pPr>
              <w:rPr>
                <w:rFonts w:asciiTheme="minorHAnsi" w:hAnsiTheme="minorHAnsi" w:cstheme="minorHAnsi"/>
                <w:i/>
                <w:lang w:val="es-E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die </w:t>
            </w: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Funktion</w:t>
            </w:r>
            <w:proofErr w:type="spellEnd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 </w:t>
            </w: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der</w:t>
            </w:r>
            <w:proofErr w:type="spellEnd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 </w:t>
            </w: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Sprache</w:t>
            </w:r>
            <w:proofErr w:type="spellEnd"/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el bilingüismo catalán-castellano 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8508EA" w:rsidRPr="00725EE3" w:rsidRDefault="00725EE3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die </w:t>
            </w:r>
            <w:r w:rsidR="008508EA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katalanisch-kastilische </w:t>
            </w:r>
          </w:p>
        </w:tc>
      </w:tr>
      <w:tr w:rsidR="008508EA" w:rsidRPr="00761F87" w:rsidTr="005835BF">
        <w:trPr>
          <w:trHeight w:val="283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el elemento unificador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8508EA" w:rsidRPr="00725EE3" w:rsidRDefault="00725EE3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das </w:t>
            </w:r>
            <w:r w:rsidR="008508EA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vereinheitlichende Element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</w:p>
        </w:tc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508EA" w:rsidRPr="00725EE3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Zweisprachigkeit</w:t>
            </w:r>
          </w:p>
        </w:tc>
      </w:tr>
      <w:tr w:rsidR="008508EA" w:rsidRPr="00761F87" w:rsidTr="005835BF">
        <w:trPr>
          <w:trHeight w:val="283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la identidad / la identidad lingüística</w:t>
            </w:r>
          </w:p>
        </w:tc>
        <w:tc>
          <w:tcPr>
            <w:tcW w:w="3849" w:type="dxa"/>
            <w:tcBorders>
              <w:left w:val="single" w:sz="4" w:space="0" w:color="auto"/>
              <w:bottom w:val="nil"/>
            </w:tcBorders>
          </w:tcPr>
          <w:p w:rsidR="008508EA" w:rsidRPr="00725EE3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val="es-ES"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die Identität / die sprachliche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monolingüe, el monolingüismo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</w:tcPr>
          <w:p w:rsidR="008508EA" w:rsidRPr="00725EE3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einsprachig, die Einsprachigkeit</w:t>
            </w:r>
          </w:p>
        </w:tc>
      </w:tr>
      <w:tr w:rsidR="008508EA" w:rsidRPr="00761F87" w:rsidTr="005835BF">
        <w:trPr>
          <w:trHeight w:val="283"/>
        </w:trPr>
        <w:tc>
          <w:tcPr>
            <w:tcW w:w="3846" w:type="dxa"/>
            <w:tcBorders>
              <w:top w:val="nil"/>
              <w:right w:val="single" w:sz="4" w:space="0" w:color="auto"/>
            </w:tcBorders>
          </w:tcPr>
          <w:p w:rsidR="008508EA" w:rsidRPr="00E315AF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</w:p>
        </w:tc>
        <w:tc>
          <w:tcPr>
            <w:tcW w:w="3849" w:type="dxa"/>
            <w:tcBorders>
              <w:top w:val="nil"/>
              <w:left w:val="single" w:sz="4" w:space="0" w:color="auto"/>
            </w:tcBorders>
          </w:tcPr>
          <w:p w:rsidR="008508EA" w:rsidRPr="00725EE3" w:rsidRDefault="008508EA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Identität</w:t>
            </w:r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8508EA" w:rsidRPr="00E315AF" w:rsidRDefault="008508EA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ser bilingüe/plurilingüe/ multilingüe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8508EA" w:rsidRPr="00725EE3" w:rsidRDefault="008508EA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zweisprachig / mehrsprachig sein</w:t>
            </w:r>
          </w:p>
        </w:tc>
      </w:tr>
      <w:tr w:rsidR="00BD4855" w:rsidRPr="008508EA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ser </w:t>
            </w:r>
            <w:r w:rsidR="00711CFB" w:rsidRPr="00E315AF">
              <w:rPr>
                <w:rFonts w:asciiTheme="minorHAnsi" w:eastAsiaTheme="minorHAnsi" w:hAnsiTheme="minorHAnsi" w:cstheme="minorHAnsi"/>
                <w:lang w:val="es-ES" w:eastAsia="en-US"/>
              </w:rPr>
              <w:t>una señ</w:t>
            </w: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a / un signo de identidad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val="es-ES"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ein Identitätszeichen sein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ser una comunidad autónoma </w:t>
            </w:r>
            <w:r w:rsidR="00725EE3"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 bilingüe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  <w:bottom w:val="nil"/>
            </w:tcBorders>
          </w:tcPr>
          <w:p w:rsidR="00BD4855" w:rsidRPr="00725EE3" w:rsidRDefault="00725EE3" w:rsidP="00E315AF">
            <w:pPr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eine zweisprachige autonome Region s</w:t>
            </w:r>
            <w:r>
              <w:rPr>
                <w:rFonts w:asciiTheme="minorHAnsi" w:eastAsiaTheme="minorHAnsi" w:hAnsiTheme="minorHAnsi" w:cstheme="minorHAnsi"/>
                <w:i/>
                <w:lang w:eastAsia="en-US"/>
              </w:rPr>
              <w:t>ein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single" w:sz="12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el enriquecimiento, la riqueza </w:t>
            </w:r>
          </w:p>
        </w:tc>
        <w:tc>
          <w:tcPr>
            <w:tcW w:w="3849" w:type="dxa"/>
            <w:tcBorders>
              <w:left w:val="single" w:sz="4" w:space="0" w:color="auto"/>
              <w:bottom w:val="single" w:sz="12" w:space="0" w:color="auto"/>
            </w:tcBorders>
          </w:tcPr>
          <w:p w:rsidR="00BD4855" w:rsidRPr="00725EE3" w:rsidRDefault="00725EE3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val="es-ES"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die </w:t>
            </w:r>
            <w:proofErr w:type="spellStart"/>
            <w:r w:rsidR="00BD4855"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Bereicherung</w:t>
            </w:r>
            <w:proofErr w:type="spellEnd"/>
            <w:r w:rsidR="00BD4855"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, </w:t>
            </w:r>
            <w:proofErr w:type="spellStart"/>
            <w:r w:rsidR="00BD4855"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der</w:t>
            </w:r>
            <w:proofErr w:type="spellEnd"/>
            <w:r w:rsidR="00BD4855"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 </w:t>
            </w:r>
            <w:proofErr w:type="spellStart"/>
            <w:r w:rsidR="00BD4855"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Reichtum</w:t>
            </w:r>
            <w:proofErr w:type="spellEnd"/>
          </w:p>
        </w:tc>
        <w:tc>
          <w:tcPr>
            <w:tcW w:w="3848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 xml:space="preserve">la convivencia / coexistencia del </w:t>
            </w:r>
            <w:r w:rsidR="00725EE3" w:rsidRPr="00E315AF">
              <w:rPr>
                <w:rFonts w:asciiTheme="minorHAnsi" w:hAnsiTheme="minorHAnsi" w:cstheme="minorHAnsi"/>
                <w:lang w:val="es-ES"/>
              </w:rPr>
              <w:t>castellano y del catalán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das Zusammenleben </w:t>
            </w:r>
            <w:r w:rsidR="00725EE3" w:rsidRPr="00725EE3">
              <w:rPr>
                <w:rFonts w:asciiTheme="minorHAnsi" w:hAnsiTheme="minorHAnsi" w:cstheme="minorHAnsi"/>
                <w:i/>
              </w:rPr>
              <w:t>des Kastilischen u</w:t>
            </w:r>
            <w:r w:rsidR="00725EE3">
              <w:rPr>
                <w:rFonts w:asciiTheme="minorHAnsi" w:hAnsiTheme="minorHAnsi" w:cstheme="minorHAnsi"/>
                <w:i/>
              </w:rPr>
              <w:t>nd des Katalanischen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promover (o&gt;</w:t>
            </w:r>
            <w:proofErr w:type="spellStart"/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ue</w:t>
            </w:r>
            <w:proofErr w:type="spellEnd"/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)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fördern</w:t>
            </w:r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b/>
                <w:lang w:val="es-ES" w:eastAsia="en-US"/>
              </w:rPr>
              <w:t>implantar</w:t>
            </w: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 </w:t>
            </w:r>
            <w:r w:rsidR="00725EE3">
              <w:rPr>
                <w:rFonts w:asciiTheme="minorHAnsi" w:eastAsiaTheme="minorHAnsi" w:hAnsiTheme="minorHAnsi" w:cstheme="minorHAnsi"/>
                <w:lang w:val="es-ES" w:eastAsia="en-US"/>
              </w:rPr>
              <w:t>“</w:t>
            </w: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la normalización 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die sprachliche Normalisierung 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proteger, la protección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schützen, der Schutz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lingüística</w:t>
            </w:r>
            <w:r w:rsidR="00725EE3">
              <w:rPr>
                <w:rFonts w:asciiTheme="minorHAnsi" w:eastAsiaTheme="minorHAnsi" w:hAnsiTheme="minorHAnsi" w:cstheme="minorHAnsi"/>
                <w:lang w:val="es-ES" w:eastAsia="en-US"/>
              </w:rPr>
              <w:t>”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durchsetzen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prohibir, la prohibición </w:t>
            </w:r>
          </w:p>
        </w:tc>
        <w:tc>
          <w:tcPr>
            <w:tcW w:w="3849" w:type="dxa"/>
            <w:tcBorders>
              <w:left w:val="single" w:sz="4" w:space="0" w:color="auto"/>
              <w:bottom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verbieten, das Verbot</w:t>
            </w:r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 xml:space="preserve">tener derecho a utilizar las dos 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das Recht haben, die beiden 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top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perseguir, la persecución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verfolgen, die Verfolgung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>lenguas oficiales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>offiziellen Sprachen zu benutzen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rechazar, el rechazo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ablehnen, die Ablehnung</w:t>
            </w:r>
          </w:p>
        </w:tc>
        <w:tc>
          <w:tcPr>
            <w:tcW w:w="3848" w:type="dxa"/>
            <w:tcBorders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b/>
                <w:lang w:val="es-ES"/>
              </w:rPr>
              <w:t>insistir en</w:t>
            </w:r>
            <w:r w:rsidRPr="00E315AF">
              <w:rPr>
                <w:rFonts w:asciiTheme="minorHAnsi" w:hAnsiTheme="minorHAnsi" w:cstheme="minorHAnsi"/>
                <w:lang w:val="es-ES"/>
              </w:rPr>
              <w:t xml:space="preserve"> el uso del catalán</w:t>
            </w:r>
          </w:p>
        </w:tc>
        <w:tc>
          <w:tcPr>
            <w:tcW w:w="3845" w:type="dxa"/>
            <w:tcBorders>
              <w:left w:val="single" w:sz="4" w:space="0" w:color="auto"/>
            </w:tcBorders>
          </w:tcPr>
          <w:p w:rsidR="00BD4855" w:rsidRPr="00C12D11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C12D11">
              <w:rPr>
                <w:rFonts w:asciiTheme="minorHAnsi" w:hAnsiTheme="minorHAnsi" w:cstheme="minorHAnsi"/>
                <w:i/>
              </w:rPr>
              <w:t xml:space="preserve">auf dem Gebrauch </w:t>
            </w:r>
            <w:r w:rsidR="00725EE3" w:rsidRPr="00C12D11">
              <w:rPr>
                <w:rFonts w:asciiTheme="minorHAnsi" w:hAnsiTheme="minorHAnsi" w:cstheme="minorHAnsi"/>
                <w:i/>
              </w:rPr>
              <w:t>des Katalanischen</w:t>
            </w:r>
            <w:r w:rsidRPr="00C12D11">
              <w:rPr>
                <w:rFonts w:asciiTheme="minorHAnsi" w:hAnsiTheme="minorHAnsi" w:cstheme="minorHAnsi"/>
                <w:i/>
              </w:rPr>
              <w:t xml:space="preserve"> bestehen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discriminar, la discriminación 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val="es-ES" w:eastAsia="en-US"/>
              </w:rPr>
            </w:pP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diskriminieren</w:t>
            </w:r>
            <w:proofErr w:type="spellEnd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, </w:t>
            </w:r>
            <w:r w:rsid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die </w:t>
            </w: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Diskriminierung</w:t>
            </w:r>
            <w:proofErr w:type="spellEnd"/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C12D11" w:rsidP="00E315AF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BD4855" w:rsidRPr="00E315AF">
              <w:rPr>
                <w:rFonts w:asciiTheme="minorHAnsi" w:hAnsiTheme="minorHAnsi" w:cstheme="minorHAnsi"/>
                <w:lang w:val="es-ES"/>
              </w:rPr>
              <w:t xml:space="preserve">discriminación por el uso de una 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BD4855" w:rsidRPr="00725EE3" w:rsidRDefault="00C12D11" w:rsidP="00E315A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lang w:val="es-ES"/>
              </w:rPr>
              <w:t xml:space="preserve">die </w:t>
            </w:r>
            <w:r w:rsidR="00BD4855" w:rsidRPr="00725EE3">
              <w:rPr>
                <w:rFonts w:asciiTheme="minorHAnsi" w:hAnsiTheme="minorHAnsi" w:cstheme="minorHAnsi"/>
                <w:i/>
              </w:rPr>
              <w:t xml:space="preserve">Diskriminierung wegen des 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garantizar el uso de ... </w:t>
            </w:r>
          </w:p>
        </w:tc>
        <w:tc>
          <w:tcPr>
            <w:tcW w:w="3849" w:type="dxa"/>
            <w:tcBorders>
              <w:left w:val="single" w:sz="4" w:space="0" w:color="auto"/>
              <w:bottom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den Gebrauch von ... garantieren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>determinada lengua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Gebrauchs einer bestimmten </w:t>
            </w:r>
          </w:p>
        </w:tc>
      </w:tr>
      <w:tr w:rsidR="00BD4855" w:rsidRPr="008508EA" w:rsidTr="005835BF">
        <w:trPr>
          <w:trHeight w:val="283"/>
        </w:trPr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tener derecho a...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ein Recht haben auf...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eastAsiaTheme="minorHAnsi" w:hAnsiTheme="minorHAnsi" w:cstheme="minorHAnsi"/>
                <w:lang w:val="es-ES" w:eastAsia="en-US"/>
              </w:rPr>
            </w:pPr>
          </w:p>
        </w:tc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hAnsiTheme="minorHAnsi" w:cstheme="minorHAnsi"/>
                <w:i/>
              </w:rPr>
              <w:t>Sprache</w:t>
            </w:r>
          </w:p>
        </w:tc>
      </w:tr>
      <w:tr w:rsidR="00BD4855" w:rsidRPr="008508EA" w:rsidTr="005835BF">
        <w:trPr>
          <w:trHeight w:val="283"/>
        </w:trPr>
        <w:tc>
          <w:tcPr>
            <w:tcW w:w="3846" w:type="dxa"/>
            <w:tcBorders>
              <w:top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reclamar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fordern, einfordern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b/>
                <w:lang w:val="es-ES"/>
              </w:rPr>
              <w:t>reclamar / reivindicar</w:t>
            </w:r>
            <w:r w:rsidRPr="00E315AF">
              <w:rPr>
                <w:rFonts w:asciiTheme="minorHAnsi" w:hAnsiTheme="minorHAnsi" w:cstheme="minorHAnsi"/>
                <w:lang w:val="es-ES"/>
              </w:rPr>
              <w:t xml:space="preserve"> más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  <w:lang w:val="es-ES"/>
              </w:rPr>
            </w:pPr>
            <w:proofErr w:type="spellStart"/>
            <w:r w:rsidRPr="00725EE3">
              <w:rPr>
                <w:rFonts w:asciiTheme="minorHAnsi" w:hAnsiTheme="minorHAnsi" w:cstheme="minorHAnsi"/>
                <w:i/>
                <w:lang w:val="es-ES"/>
              </w:rPr>
              <w:t>mehr</w:t>
            </w:r>
            <w:proofErr w:type="spellEnd"/>
            <w:r w:rsidRPr="00725EE3">
              <w:rPr>
                <w:rFonts w:asciiTheme="minorHAnsi" w:hAnsiTheme="minorHAnsi" w:cstheme="minorHAnsi"/>
                <w:i/>
                <w:lang w:val="es-ES"/>
              </w:rPr>
              <w:t xml:space="preserve"> </w:t>
            </w:r>
            <w:proofErr w:type="spellStart"/>
            <w:r w:rsidRPr="00725EE3">
              <w:rPr>
                <w:rFonts w:asciiTheme="minorHAnsi" w:hAnsiTheme="minorHAnsi" w:cstheme="minorHAnsi"/>
                <w:i/>
                <w:lang w:val="es-ES"/>
              </w:rPr>
              <w:t>Eigenständigkeit</w:t>
            </w:r>
            <w:proofErr w:type="spellEnd"/>
            <w:r w:rsidRPr="00725EE3">
              <w:rPr>
                <w:rFonts w:asciiTheme="minorHAnsi" w:hAnsiTheme="minorHAnsi" w:cstheme="minorHAnsi"/>
                <w:i/>
                <w:lang w:val="es-ES"/>
              </w:rPr>
              <w:t xml:space="preserve"> </w:t>
            </w:r>
            <w:proofErr w:type="spellStart"/>
            <w:r w:rsidRPr="00725EE3">
              <w:rPr>
                <w:rFonts w:asciiTheme="minorHAnsi" w:hAnsiTheme="minorHAnsi" w:cstheme="minorHAnsi"/>
                <w:i/>
                <w:lang w:val="es-ES"/>
              </w:rPr>
              <w:t>beanspruchen</w:t>
            </w:r>
            <w:proofErr w:type="spellEnd"/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single" w:sz="12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restablecer, el restablecimiento </w:t>
            </w:r>
          </w:p>
        </w:tc>
        <w:tc>
          <w:tcPr>
            <w:tcW w:w="3849" w:type="dxa"/>
            <w:tcBorders>
              <w:left w:val="single" w:sz="4" w:space="0" w:color="auto"/>
              <w:bottom w:val="single" w:sz="12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wiederherstellen, </w:t>
            </w:r>
            <w:r w:rsid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die </w:t>
            </w: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Wiederherstellung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>autonomía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  <w:lang w:val="es-ES"/>
              </w:rPr>
            </w:pPr>
            <w:r w:rsidRPr="00725EE3">
              <w:rPr>
                <w:rFonts w:asciiTheme="minorHAnsi" w:hAnsiTheme="minorHAnsi" w:cstheme="minorHAnsi"/>
                <w:i/>
                <w:lang w:val="es-ES"/>
              </w:rPr>
              <w:t xml:space="preserve"> / </w:t>
            </w:r>
            <w:proofErr w:type="spellStart"/>
            <w:r w:rsidRPr="00725EE3">
              <w:rPr>
                <w:rFonts w:asciiTheme="minorHAnsi" w:hAnsiTheme="minorHAnsi" w:cstheme="minorHAnsi"/>
                <w:i/>
                <w:lang w:val="es-ES"/>
              </w:rPr>
              <w:t>einfordern</w:t>
            </w:r>
            <w:proofErr w:type="spellEnd"/>
          </w:p>
        </w:tc>
      </w:tr>
      <w:tr w:rsidR="005835BF" w:rsidRPr="00761F87" w:rsidTr="005835BF">
        <w:trPr>
          <w:trHeight w:val="283"/>
        </w:trPr>
        <w:tc>
          <w:tcPr>
            <w:tcW w:w="3846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5835BF" w:rsidRPr="00E315AF" w:rsidRDefault="005835BF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enseñar, la enseñanza </w:t>
            </w:r>
          </w:p>
        </w:tc>
        <w:tc>
          <w:tcPr>
            <w:tcW w:w="384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835BF" w:rsidRPr="00725EE3" w:rsidRDefault="005835BF" w:rsidP="005835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unterrichten / lehren, </w:t>
            </w: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br/>
              <w:t>der Unterricht / das Bildungswesen</w:t>
            </w:r>
          </w:p>
        </w:tc>
        <w:tc>
          <w:tcPr>
            <w:tcW w:w="3848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5835BF" w:rsidRPr="00E315AF" w:rsidRDefault="005835BF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b/>
                <w:lang w:val="es-ES"/>
              </w:rPr>
              <w:t>dirigirse contra / burlarse de</w:t>
            </w:r>
            <w:r w:rsidRPr="00E315AF">
              <w:rPr>
                <w:rFonts w:asciiTheme="minorHAnsi" w:hAnsiTheme="minorHAnsi" w:cstheme="minorHAnsi"/>
                <w:lang w:val="es-ES"/>
              </w:rPr>
              <w:t xml:space="preserve"> la </w:t>
            </w:r>
          </w:p>
        </w:tc>
        <w:tc>
          <w:tcPr>
            <w:tcW w:w="3845" w:type="dxa"/>
            <w:tcBorders>
              <w:left w:val="single" w:sz="4" w:space="0" w:color="auto"/>
              <w:bottom w:val="nil"/>
            </w:tcBorders>
          </w:tcPr>
          <w:p w:rsidR="005835BF" w:rsidRPr="00725EE3" w:rsidRDefault="005835BF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sich gegen die sprachliche Realität in </w:t>
            </w:r>
          </w:p>
        </w:tc>
      </w:tr>
      <w:tr w:rsidR="005835BF" w:rsidRPr="00761F87" w:rsidTr="005835BF">
        <w:trPr>
          <w:trHeight w:val="283"/>
        </w:trPr>
        <w:tc>
          <w:tcPr>
            <w:tcW w:w="3846" w:type="dxa"/>
            <w:tcBorders>
              <w:top w:val="nil"/>
              <w:right w:val="single" w:sz="4" w:space="0" w:color="auto"/>
            </w:tcBorders>
          </w:tcPr>
          <w:p w:rsidR="005835BF" w:rsidRPr="005835BF" w:rsidRDefault="005835BF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849" w:type="dxa"/>
            <w:vMerge/>
            <w:tcBorders>
              <w:left w:val="single" w:sz="4" w:space="0" w:color="auto"/>
            </w:tcBorders>
          </w:tcPr>
          <w:p w:rsidR="005835BF" w:rsidRPr="00725EE3" w:rsidRDefault="005835BF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</w:p>
        </w:tc>
        <w:tc>
          <w:tcPr>
            <w:tcW w:w="384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:rsidR="005835BF" w:rsidRPr="00E315AF" w:rsidRDefault="005835BF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lang w:val="es-ES"/>
              </w:rPr>
              <w:t>realidad lingüística catalana</w:t>
            </w:r>
          </w:p>
        </w:tc>
        <w:tc>
          <w:tcPr>
            <w:tcW w:w="3845" w:type="dxa"/>
            <w:tcBorders>
              <w:top w:val="nil"/>
              <w:left w:val="single" w:sz="4" w:space="0" w:color="auto"/>
              <w:bottom w:val="nil"/>
            </w:tcBorders>
          </w:tcPr>
          <w:p w:rsidR="005835BF" w:rsidRPr="00725EE3" w:rsidRDefault="005835BF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Katalonien wenden / sich über ~ 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impartir clases en castellano</w:t>
            </w:r>
          </w:p>
        </w:tc>
        <w:tc>
          <w:tcPr>
            <w:tcW w:w="3849" w:type="dxa"/>
            <w:tcBorders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Unterricht auf </w:t>
            </w:r>
            <w:r w:rsidR="00725EE3">
              <w:rPr>
                <w:rFonts w:asciiTheme="minorHAnsi" w:eastAsiaTheme="minorHAnsi" w:hAnsiTheme="minorHAnsi" w:cstheme="minorHAnsi"/>
                <w:i/>
                <w:lang w:eastAsia="en-US"/>
              </w:rPr>
              <w:t>Kastilisch</w:t>
            </w: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erteilen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45" w:type="dxa"/>
            <w:tcBorders>
              <w:top w:val="nil"/>
              <w:left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>lustig machen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single" w:sz="12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aprender, el aprendizaje</w:t>
            </w:r>
          </w:p>
        </w:tc>
        <w:tc>
          <w:tcPr>
            <w:tcW w:w="3849" w:type="dxa"/>
            <w:tcBorders>
              <w:left w:val="single" w:sz="4" w:space="0" w:color="auto"/>
              <w:bottom w:val="single" w:sz="12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lernen</w:t>
            </w:r>
            <w:proofErr w:type="spellEnd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, </w:t>
            </w:r>
            <w:r w:rsid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 xml:space="preserve">die </w:t>
            </w:r>
            <w:proofErr w:type="spellStart"/>
            <w:r w:rsidRPr="00725EE3">
              <w:rPr>
                <w:rFonts w:asciiTheme="minorHAnsi" w:eastAsiaTheme="minorHAnsi" w:hAnsiTheme="minorHAnsi" w:cstheme="minorHAnsi"/>
                <w:i/>
                <w:lang w:val="es-ES" w:eastAsia="en-US"/>
              </w:rPr>
              <w:t>Lehre</w:t>
            </w:r>
            <w:proofErr w:type="spellEnd"/>
          </w:p>
        </w:tc>
        <w:tc>
          <w:tcPr>
            <w:tcW w:w="384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b/>
                <w:lang w:val="es-ES"/>
              </w:rPr>
              <w:t>perseguir</w:t>
            </w:r>
            <w:r w:rsidRPr="00E315AF">
              <w:rPr>
                <w:rFonts w:asciiTheme="minorHAnsi" w:hAnsiTheme="minorHAnsi" w:cstheme="minorHAnsi"/>
                <w:lang w:val="es-ES"/>
              </w:rPr>
              <w:t xml:space="preserve"> el castellano en Cataluña</w:t>
            </w:r>
          </w:p>
        </w:tc>
        <w:tc>
          <w:tcPr>
            <w:tcW w:w="3845" w:type="dxa"/>
            <w:tcBorders>
              <w:left w:val="single" w:sz="4" w:space="0" w:color="auto"/>
              <w:bottom w:val="single" w:sz="4" w:space="0" w:color="auto"/>
            </w:tcBorders>
          </w:tcPr>
          <w:p w:rsidR="00BD4855" w:rsidRPr="004E38C1" w:rsidRDefault="004E38C1" w:rsidP="00E315A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das Kastilischen in Katalonien </w:t>
            </w:r>
            <w:r w:rsidR="00BD4855" w:rsidRPr="00725EE3">
              <w:rPr>
                <w:rFonts w:asciiTheme="minorHAnsi" w:hAnsiTheme="minorHAnsi" w:cstheme="minorHAnsi"/>
                <w:i/>
              </w:rPr>
              <w:t>verfolgen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top w:val="single" w:sz="12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la lengua oficial / cooficial 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4" w:space="0" w:color="auto"/>
            </w:tcBorders>
          </w:tcPr>
          <w:p w:rsidR="00BD4855" w:rsidRPr="00725EE3" w:rsidRDefault="00725EE3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die </w:t>
            </w:r>
            <w:r w:rsidR="00BD4855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offizielle / </w:t>
            </w:r>
            <w:proofErr w:type="spellStart"/>
            <w:r w:rsidR="00BD4855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kooffizielle</w:t>
            </w:r>
            <w:proofErr w:type="spellEnd"/>
            <w:r w:rsidR="00BD4855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Sprache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  <w:r w:rsidRPr="00E315AF">
              <w:rPr>
                <w:rFonts w:asciiTheme="minorHAnsi" w:hAnsiTheme="minorHAnsi" w:cstheme="minorHAnsi"/>
                <w:b/>
                <w:lang w:val="es-ES"/>
              </w:rPr>
              <w:t>obstaculizar</w:t>
            </w:r>
            <w:r w:rsidRPr="00E315AF">
              <w:rPr>
                <w:rFonts w:asciiTheme="minorHAnsi" w:hAnsiTheme="minorHAnsi" w:cstheme="minorHAnsi"/>
                <w:lang w:val="es-ES"/>
              </w:rPr>
              <w:t xml:space="preserve"> el empleo del castellano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 xml:space="preserve">den Gebrauch des </w:t>
            </w:r>
            <w:r w:rsidR="005835BF" w:rsidRPr="00725EE3">
              <w:rPr>
                <w:rFonts w:asciiTheme="minorHAnsi" w:hAnsiTheme="minorHAnsi" w:cstheme="minorHAnsi"/>
                <w:i/>
              </w:rPr>
              <w:t>Spanischen</w:t>
            </w:r>
            <w:r w:rsidRPr="00725EE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bottom w:val="nil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>la lengua vehicular</w:t>
            </w:r>
          </w:p>
        </w:tc>
        <w:tc>
          <w:tcPr>
            <w:tcW w:w="3849" w:type="dxa"/>
            <w:tcBorders>
              <w:left w:val="single" w:sz="4" w:space="0" w:color="auto"/>
              <w:bottom w:val="nil"/>
            </w:tcBorders>
          </w:tcPr>
          <w:p w:rsidR="00BD4855" w:rsidRPr="00725EE3" w:rsidRDefault="00725EE3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die </w:t>
            </w:r>
            <w:r w:rsidR="00BD4855"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Verkehrssprache</w:t>
            </w:r>
          </w:p>
        </w:tc>
        <w:tc>
          <w:tcPr>
            <w:tcW w:w="3848" w:type="dxa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45" w:type="dxa"/>
            <w:tcBorders>
              <w:top w:val="nil"/>
              <w:left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  <w:r w:rsidRPr="00725EE3">
              <w:rPr>
                <w:rFonts w:asciiTheme="minorHAnsi" w:hAnsiTheme="minorHAnsi" w:cstheme="minorHAnsi"/>
                <w:i/>
              </w:rPr>
              <w:t>behindern</w:t>
            </w:r>
          </w:p>
        </w:tc>
      </w:tr>
      <w:tr w:rsidR="00BD4855" w:rsidRPr="00761F87" w:rsidTr="005835BF">
        <w:trPr>
          <w:trHeight w:val="283"/>
        </w:trPr>
        <w:tc>
          <w:tcPr>
            <w:tcW w:w="3846" w:type="dxa"/>
            <w:tcBorders>
              <w:top w:val="single" w:sz="12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val="es-ES" w:eastAsia="en-US"/>
              </w:rPr>
            </w:pPr>
            <w:r w:rsidRPr="00E315AF">
              <w:rPr>
                <w:rFonts w:asciiTheme="minorHAnsi" w:eastAsiaTheme="minorHAnsi" w:hAnsiTheme="minorHAnsi" w:cstheme="minorHAnsi"/>
                <w:lang w:val="es-ES" w:eastAsia="en-US"/>
              </w:rPr>
              <w:t xml:space="preserve">bilingüe, el bilingüismo 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4" w:space="0" w:color="auto"/>
            </w:tcBorders>
          </w:tcPr>
          <w:p w:rsidR="00BD4855" w:rsidRPr="00725EE3" w:rsidRDefault="00BD4855" w:rsidP="00E315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  <w:r w:rsidRPr="00725EE3">
              <w:rPr>
                <w:rFonts w:asciiTheme="minorHAnsi" w:eastAsiaTheme="minorHAnsi" w:hAnsiTheme="minorHAnsi" w:cstheme="minorHAnsi"/>
                <w:i/>
                <w:lang w:eastAsia="en-US"/>
              </w:rPr>
              <w:t>zweisprachig, die Zweisprachigkeit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D4855" w:rsidRPr="00E315AF" w:rsidRDefault="00BD4855" w:rsidP="00E315AF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</w:tcPr>
          <w:p w:rsidR="00BD4855" w:rsidRPr="00725EE3" w:rsidRDefault="00BD4855" w:rsidP="00E315AF">
            <w:pPr>
              <w:rPr>
                <w:rFonts w:asciiTheme="minorHAnsi" w:hAnsiTheme="minorHAnsi" w:cstheme="minorHAnsi"/>
                <w:i/>
              </w:rPr>
            </w:pPr>
          </w:p>
        </w:tc>
      </w:tr>
      <w:bookmarkEnd w:id="0"/>
    </w:tbl>
    <w:p w:rsidR="00F458D1" w:rsidRPr="002B4A5D" w:rsidRDefault="00F458D1" w:rsidP="002B4A5D">
      <w:pPr>
        <w:tabs>
          <w:tab w:val="left" w:pos="1903"/>
        </w:tabs>
        <w:rPr>
          <w:rFonts w:asciiTheme="minorHAnsi" w:hAnsiTheme="minorHAnsi"/>
          <w:lang w:val="es-ES_tradnl"/>
        </w:rPr>
      </w:pPr>
    </w:p>
    <w:sectPr w:rsidR="00F458D1" w:rsidRPr="002B4A5D" w:rsidSect="00DC2759">
      <w:headerReference w:type="default" r:id="rId9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18A" w:rsidRDefault="00C8118A" w:rsidP="00F458D1">
      <w:r>
        <w:separator/>
      </w:r>
    </w:p>
  </w:endnote>
  <w:endnote w:type="continuationSeparator" w:id="0">
    <w:p w:rsidR="00C8118A" w:rsidRDefault="00C8118A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18A" w:rsidRDefault="00C8118A" w:rsidP="00F458D1">
      <w:r>
        <w:separator/>
      </w:r>
    </w:p>
  </w:footnote>
  <w:footnote w:type="continuationSeparator" w:id="0">
    <w:p w:rsidR="00C8118A" w:rsidRDefault="00C8118A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8D1" w:rsidRPr="002B704A" w:rsidRDefault="00F458D1" w:rsidP="002B70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924"/>
    <w:rsid w:val="00133E44"/>
    <w:rsid w:val="001552FD"/>
    <w:rsid w:val="001623EA"/>
    <w:rsid w:val="0018461B"/>
    <w:rsid w:val="001D3F29"/>
    <w:rsid w:val="002B4A5D"/>
    <w:rsid w:val="002B704A"/>
    <w:rsid w:val="002C082E"/>
    <w:rsid w:val="002D4098"/>
    <w:rsid w:val="00341EF4"/>
    <w:rsid w:val="003B3869"/>
    <w:rsid w:val="003B51B1"/>
    <w:rsid w:val="00417088"/>
    <w:rsid w:val="00455021"/>
    <w:rsid w:val="004C4BEE"/>
    <w:rsid w:val="004C4E47"/>
    <w:rsid w:val="004E38C1"/>
    <w:rsid w:val="00542699"/>
    <w:rsid w:val="005835BF"/>
    <w:rsid w:val="00594C67"/>
    <w:rsid w:val="005A50FE"/>
    <w:rsid w:val="005F303F"/>
    <w:rsid w:val="0060628F"/>
    <w:rsid w:val="0060637A"/>
    <w:rsid w:val="00626B01"/>
    <w:rsid w:val="00647D7E"/>
    <w:rsid w:val="0066670B"/>
    <w:rsid w:val="006C47F0"/>
    <w:rsid w:val="00711CFB"/>
    <w:rsid w:val="00725EE3"/>
    <w:rsid w:val="00761F87"/>
    <w:rsid w:val="007644FB"/>
    <w:rsid w:val="00791BEF"/>
    <w:rsid w:val="007B2B95"/>
    <w:rsid w:val="007C4A9E"/>
    <w:rsid w:val="007D5816"/>
    <w:rsid w:val="007E5DD4"/>
    <w:rsid w:val="00812466"/>
    <w:rsid w:val="008508EA"/>
    <w:rsid w:val="008859D4"/>
    <w:rsid w:val="008B537F"/>
    <w:rsid w:val="008E251E"/>
    <w:rsid w:val="008E3BD0"/>
    <w:rsid w:val="008F44B6"/>
    <w:rsid w:val="0097651D"/>
    <w:rsid w:val="00A11924"/>
    <w:rsid w:val="00A26013"/>
    <w:rsid w:val="00A638D0"/>
    <w:rsid w:val="00AB6344"/>
    <w:rsid w:val="00AD1816"/>
    <w:rsid w:val="00B561B0"/>
    <w:rsid w:val="00B9378C"/>
    <w:rsid w:val="00BA2F21"/>
    <w:rsid w:val="00BD1A60"/>
    <w:rsid w:val="00BD4855"/>
    <w:rsid w:val="00BF5501"/>
    <w:rsid w:val="00C023E7"/>
    <w:rsid w:val="00C12D11"/>
    <w:rsid w:val="00C8118A"/>
    <w:rsid w:val="00D35131"/>
    <w:rsid w:val="00DC267D"/>
    <w:rsid w:val="00DC2759"/>
    <w:rsid w:val="00DE2FC3"/>
    <w:rsid w:val="00DE6318"/>
    <w:rsid w:val="00DF2DA4"/>
    <w:rsid w:val="00E0233E"/>
    <w:rsid w:val="00E16389"/>
    <w:rsid w:val="00E315AF"/>
    <w:rsid w:val="00E86A0F"/>
    <w:rsid w:val="00EA26BE"/>
    <w:rsid w:val="00EB46B6"/>
    <w:rsid w:val="00F458D1"/>
    <w:rsid w:val="00F8439C"/>
    <w:rsid w:val="00F868D2"/>
    <w:rsid w:val="00F9381F"/>
    <w:rsid w:val="00FA4750"/>
    <w:rsid w:val="00FB0164"/>
    <w:rsid w:val="00FB1665"/>
    <w:rsid w:val="00F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4C4323-5558-43A0-A5E7-061F42CC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601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A50FE"/>
    <w:pPr>
      <w:widowControl/>
      <w:kinsoku/>
      <w:spacing w:before="100" w:beforeAutospacing="1" w:after="100" w:afterAutospacing="1"/>
    </w:pPr>
    <w:rPr>
      <w:rFonts w:eastAsia="Times New Roman"/>
    </w:rPr>
  </w:style>
  <w:style w:type="table" w:styleId="Tabellenraster">
    <w:name w:val="Table Grid"/>
    <w:basedOn w:val="NormaleTabelle"/>
    <w:uiPriority w:val="59"/>
    <w:rsid w:val="002B4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_Sebastian\5%20Datenbanken\Computer\Microsoft\Vorlagen\Schule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BA4F13-E67D-4A5A-A6DD-212B1A93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1</Pages>
  <Words>308</Words>
  <Characters>2071</Characters>
  <Application>Microsoft Office Word</Application>
  <DocSecurity>0</DocSecurity>
  <Lines>101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 Admin</dc:creator>
  <cp:lastModifiedBy>Alexandra Weiss</cp:lastModifiedBy>
  <cp:revision>6</cp:revision>
  <cp:lastPrinted>2018-06-19T15:45:00Z</cp:lastPrinted>
  <dcterms:created xsi:type="dcterms:W3CDTF">2017-11-09T19:11:00Z</dcterms:created>
  <dcterms:modified xsi:type="dcterms:W3CDTF">2018-06-19T15:46:00Z</dcterms:modified>
</cp:coreProperties>
</file>