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.jpeg" ContentType="image/jpeg"/>
  <Override PartName="/word/media/image4.jpeg" ContentType="image/jpeg"/>
  <Override PartName="/word/media/image3.jpeg" ContentType="image/jpeg"/>
  <Override PartName="/word/media/image1.jpeg" ContentType="image/jpeg"/>
  <Override PartName="/word/media/hdphoto2.wdp" ContentType="image/vnd.ms-photo"/>
  <Override PartName="/word/media/image6.jpeg" ContentType="image/jpeg"/>
  <Override PartName="/word/media/hdphoto1.wdp" ContentType="image/vnd.ms-photo"/>
  <Override PartName="/word/media/image2.jpeg" ContentType="image/jpe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    </w:t>
      </w:r>
    </w:p>
    <w:tbl>
      <w:tblPr>
        <w:tblW w:w="10560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000" w:noVBand="0" w:noHBand="0" w:firstRow="0" w:lastRow="0" w:firstColumn="0" w:lastColumn="0"/>
      </w:tblPr>
      <w:tblGrid>
        <w:gridCol w:w="5597"/>
        <w:gridCol w:w="2693"/>
        <w:gridCol w:w="2270"/>
      </w:tblGrid>
      <w:tr>
        <w:trPr>
          <w:trHeight w:val="608" w:hRule="atLeast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Schule/Schulart: 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Sekundarbereich I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Lehrer/in:</w:t>
            </w:r>
          </w:p>
          <w:p>
            <w:pPr>
              <w:pStyle w:val="Normal"/>
              <w:rPr/>
            </w:pPr>
            <w:r>
              <w:rPr>
                <w:sz w:val="20"/>
              </w:rPr>
              <w:t>Armin Barth, Melanie Dettle, Helmut Limburger, Doris Meyer, Gabriele Schenk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Klasse: </w:t>
            </w:r>
          </w:p>
          <w:p>
            <w:pPr>
              <w:pStyle w:val="Normal"/>
              <w:rPr/>
            </w:pPr>
            <w:r>
              <w:rPr/>
              <w:t>7.Klasse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pPr w:bottomFromText="0" w:horzAnchor="margin" w:leftFromText="141" w:rightFromText="141" w:tblpX="0" w:tblpY="101" w:topFromText="0" w:vertAnchor="text"/>
        <w:tblW w:w="10560" w:type="dxa"/>
        <w:jc w:val="left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5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10560"/>
      </w:tblGrid>
      <w:tr>
        <w:trPr>
          <w:trHeight w:val="701" w:hRule="atLeast"/>
        </w:trPr>
        <w:tc>
          <w:tcPr>
            <w:tcW w:w="10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ind w:left="-211" w:firstLine="211"/>
              <w:jc w:val="both"/>
              <w:rPr>
                <w:b/>
                <w:b/>
              </w:rPr>
            </w:pPr>
            <w:r>
              <w:rPr>
                <w:b/>
              </w:rPr>
              <w:t xml:space="preserve">Unterrichtseinheit/Thema: </w:t>
            </w:r>
          </w:p>
          <w:p>
            <w:pPr>
              <w:pStyle w:val="Normal"/>
              <w:ind w:left="-211" w:firstLine="211"/>
              <w:jc w:val="both"/>
              <w:rPr>
                <w:b/>
                <w:b/>
              </w:rPr>
            </w:pPr>
            <w:r>
              <w:rPr>
                <w:b/>
              </w:rPr>
              <w:t>Selbstwahrnehmung, Fremdwahrnehmung – eine Annäherung an den Kubismus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0" w:name="Kontrollk%25C3%25A4stchen1"/>
      <w:bookmarkStart w:id="1" w:name="__Fieldmark__25_2342156655"/>
      <w:bookmarkStart w:id="2" w:name="__Fieldmark__27_4106788973"/>
      <w:bookmarkStart w:id="3" w:name="__Fieldmark__25_2342156655"/>
      <w:bookmarkStart w:id="4" w:name="__Fieldmark__25_2342156655"/>
      <w:bookmarkEnd w:id="2"/>
      <w:bookmarkEnd w:id="4"/>
      <w:r>
        <w:rPr/>
      </w:r>
      <w:r>
        <w:rPr/>
        <w:fldChar w:fldCharType="end"/>
      </w:r>
      <w:bookmarkEnd w:id="0"/>
      <w:r>
        <w:rPr>
          <w:sz w:val="32"/>
        </w:rPr>
        <w:t xml:space="preserve"> </w:t>
      </w:r>
      <w:r>
        <w:rPr>
          <w:b/>
        </w:rPr>
        <w:t>Bild</w:t>
      </w:r>
      <w:r>
        <w:rPr/>
        <w:t xml:space="preserve">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" w:name="Kontrollk%25C3%25A4stchen2"/>
      <w:bookmarkStart w:id="6" w:name="__Fieldmark__37_2342156655"/>
      <w:bookmarkStart w:id="7" w:name="__Fieldmark__34_4106788973"/>
      <w:bookmarkStart w:id="8" w:name="__Fieldmark__37_2342156655"/>
      <w:bookmarkStart w:id="9" w:name="__Fieldmark__37_2342156655"/>
      <w:bookmarkEnd w:id="7"/>
      <w:bookmarkEnd w:id="9"/>
      <w:r>
        <w:rPr/>
      </w:r>
      <w:r>
        <w:rPr/>
        <w:fldChar w:fldCharType="end"/>
      </w:r>
      <w:bookmarkEnd w:id="5"/>
      <w:r>
        <w:rPr/>
        <w:t xml:space="preserve"> Grafik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0" w:name="Kontrollk%25C3%25A4stchen3"/>
      <w:bookmarkStart w:id="11" w:name="__Fieldmark__47_2342156655"/>
      <w:bookmarkStart w:id="12" w:name="__Fieldmark__42_4106788973"/>
      <w:bookmarkStart w:id="13" w:name="__Fieldmark__47_2342156655"/>
      <w:bookmarkStart w:id="14" w:name="__Fieldmark__47_2342156655"/>
      <w:bookmarkEnd w:id="12"/>
      <w:bookmarkEnd w:id="14"/>
      <w:r>
        <w:rPr/>
      </w:r>
      <w:r>
        <w:rPr/>
        <w:fldChar w:fldCharType="end"/>
      </w:r>
      <w:bookmarkEnd w:id="10"/>
      <w:r>
        <w:rPr/>
        <w:t xml:space="preserve">Malerei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5" w:name="Kontrollk%25C3%25A4stchen4"/>
      <w:bookmarkStart w:id="16" w:name="__Fieldmark__57_2342156655"/>
      <w:bookmarkStart w:id="17" w:name="__Fieldmark__48_4106788973"/>
      <w:bookmarkStart w:id="18" w:name="__Fieldmark__57_2342156655"/>
      <w:bookmarkStart w:id="19" w:name="__Fieldmark__57_2342156655"/>
      <w:bookmarkEnd w:id="17"/>
      <w:bookmarkEnd w:id="19"/>
      <w:r>
        <w:rPr/>
      </w:r>
      <w:r>
        <w:rPr/>
        <w:fldChar w:fldCharType="end"/>
      </w:r>
      <w:bookmarkEnd w:id="15"/>
      <w:r>
        <w:rPr>
          <w:sz w:val="28"/>
        </w:rPr>
        <w:t xml:space="preserve"> </w:t>
      </w:r>
      <w:r>
        <w:rPr/>
        <w:t xml:space="preserve">Architektur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0" w:name="Kontrollk%25C3%25A4stchen5"/>
      <w:bookmarkStart w:id="21" w:name="__Fieldmark__68_2342156655"/>
      <w:bookmarkStart w:id="22" w:name="__Fieldmark__54_4106788973"/>
      <w:bookmarkStart w:id="23" w:name="__Fieldmark__68_2342156655"/>
      <w:bookmarkStart w:id="24" w:name="__Fieldmark__68_2342156655"/>
      <w:bookmarkEnd w:id="22"/>
      <w:bookmarkEnd w:id="24"/>
      <w:r>
        <w:rPr/>
      </w:r>
      <w:r>
        <w:rPr/>
        <w:fldChar w:fldCharType="end"/>
      </w:r>
      <w:bookmarkEnd w:id="20"/>
      <w:r>
        <w:rPr>
          <w:sz w:val="28"/>
        </w:rPr>
        <w:t xml:space="preserve"> </w:t>
      </w:r>
      <w:r>
        <w:rPr/>
        <w:t xml:space="preserve">Plastik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5" w:name="Kontrollk%25C3%25A4stchen6"/>
      <w:bookmarkStart w:id="26" w:name="__Fieldmark__79_2342156655"/>
      <w:bookmarkStart w:id="27" w:name="__Fieldmark__60_4106788973"/>
      <w:bookmarkStart w:id="28" w:name="__Fieldmark__79_2342156655"/>
      <w:bookmarkStart w:id="29" w:name="__Fieldmark__79_2342156655"/>
      <w:bookmarkEnd w:id="27"/>
      <w:bookmarkEnd w:id="29"/>
      <w:r>
        <w:rPr/>
      </w:r>
      <w:r>
        <w:rPr/>
        <w:fldChar w:fldCharType="end"/>
      </w:r>
      <w:bookmarkEnd w:id="25"/>
      <w:r>
        <w:rPr>
          <w:sz w:val="28"/>
        </w:rPr>
        <w:t xml:space="preserve"> </w:t>
      </w:r>
      <w:r>
        <w:rPr/>
        <w:t xml:space="preserve">Medien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0" w:name="Kontrollk%25C3%25A4stchen7"/>
      <w:bookmarkStart w:id="31" w:name="__Fieldmark__90_2342156655"/>
      <w:bookmarkStart w:id="32" w:name="__Fieldmark__68_4106788973"/>
      <w:bookmarkStart w:id="33" w:name="__Fieldmark__90_2342156655"/>
      <w:bookmarkStart w:id="34" w:name="__Fieldmark__90_2342156655"/>
      <w:bookmarkEnd w:id="32"/>
      <w:bookmarkEnd w:id="34"/>
      <w:r>
        <w:rPr/>
      </w:r>
      <w:r>
        <w:rPr/>
        <w:fldChar w:fldCharType="end"/>
      </w:r>
      <w:bookmarkEnd w:id="30"/>
      <w:r>
        <w:rPr>
          <w:sz w:val="28"/>
        </w:rPr>
        <w:t xml:space="preserve"> </w:t>
      </w:r>
      <w:r>
        <w:rPr/>
        <w:t xml:space="preserve">Aktion </w:t>
      </w:r>
    </w:p>
    <w:p>
      <w:pPr>
        <w:pStyle w:val="Normal"/>
        <w:rPr/>
      </w:pPr>
      <w:r>
        <w:rPr>
          <w:sz w:val="20"/>
        </w:rPr>
        <w:tab/>
      </w:r>
    </w:p>
    <w:tbl>
      <w:tblPr>
        <w:tblW w:w="10560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65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4606"/>
        <w:gridCol w:w="5953"/>
      </w:tblGrid>
      <w:tr>
        <w:trPr>
          <w:trHeight w:val="1423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Material/technisches Verfahren</w:t>
            </w:r>
          </w:p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Aktionskunst</w:t>
            </w:r>
          </w:p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Bildanalyse</w:t>
            </w:r>
          </w:p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Fotografie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2"/>
              </w:rPr>
              <w:t>Collage</w:t>
            </w:r>
          </w:p>
        </w:tc>
      </w:tr>
      <w:tr>
        <w:trPr>
          <w:trHeight w:val="3509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/>
              <w:t xml:space="preserve">Aufgabenstellung </w:t>
            </w:r>
            <w:r>
              <w:rPr>
                <w:sz w:val="20"/>
              </w:rPr>
              <w:t xml:space="preserve">(Hinführung, bildnerische Mittel, ...) 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je Doppelstunde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ind w:left="714" w:hanging="3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Museumsbesuch / Bildbetrachtung  </w:t>
            </w:r>
            <w:r>
              <w:rPr>
                <w:rFonts w:eastAsia="Wingdings" w:cs="Wingdings" w:ascii="Wingdings" w:hAnsi="Wingdings"/>
                <w:sz w:val="22"/>
              </w:rPr>
              <w:t></w:t>
            </w:r>
            <w:r>
              <w:rPr>
                <w:sz w:val="22"/>
              </w:rPr>
              <w:t xml:space="preserve"> Douglas Gordon „Monster reborn“ (siehe AB)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ind w:left="714" w:hanging="3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Wiederaufnahme Fotosession: Vertiefung </w:t>
            </w:r>
            <w:r>
              <w:rPr>
                <w:rFonts w:eastAsia="Wingdings" w:cs="Wingdings" w:ascii="Wingdings" w:hAnsi="Wingdings"/>
                <w:sz w:val="22"/>
              </w:rPr>
              <w:t></w:t>
            </w:r>
            <w:r>
              <w:rPr>
                <w:sz w:val="22"/>
              </w:rPr>
              <w:t xml:space="preserve"> erneute Fotoaufnahme vor neutralem Hintergrund (Adjektive mimisch darstellen und fotografieren. Selbstbeklebung vornehmen und dabei mimischen Ausdruck steigern. Auch fotografisch festhalten)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ind w:left="714" w:hanging="357"/>
              <w:contextualSpacing/>
              <w:rPr>
                <w:sz w:val="22"/>
              </w:rPr>
            </w:pPr>
            <w:r>
              <w:rPr>
                <w:sz w:val="22"/>
              </w:rPr>
              <w:t>Digitale Bildbearbeitung der Fotos: Druck + Reflexion</w:t>
            </w:r>
          </w:p>
        </w:tc>
      </w:tr>
      <w:tr>
        <w:trPr>
          <w:trHeight w:val="1959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/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Einführung Kubismus: Gegenüberstellung / Gemeinsamkeiten der Porträts am Beispiel von Picasso „Ambroise Vollard“ (1910) </w:t>
            </w:r>
            <w:r>
              <w:rPr>
                <w:rFonts w:eastAsia="Wingdings" w:cs="Wingdings" w:ascii="Wingdings" w:hAnsi="Wingdings"/>
                <w:sz w:val="22"/>
              </w:rPr>
              <w:t></w:t>
            </w:r>
            <w:r>
              <w:rPr>
                <w:sz w:val="22"/>
              </w:rPr>
              <w:t xml:space="preserve"> Kunstgeschichtliche Einordnung des Kubismus (z.B. Braques „Violine“, Picasso „Dora Maar“, Picasso „Les Demoiselles d’Avignon“)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Collage / Verfremdung des eigenen Porträts </w:t>
            </w:r>
            <w:r>
              <w:rPr>
                <w:rFonts w:eastAsia="Wingdings" w:cs="Wingdings" w:ascii="Wingdings" w:hAnsi="Wingdings"/>
                <w:sz w:val="22"/>
              </w:rPr>
              <w:t></w:t>
            </w:r>
            <w:r>
              <w:rPr>
                <w:sz w:val="22"/>
              </w:rPr>
              <w:t xml:space="preserve"> Mischen der entstandenen Fotografien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sz w:val="22"/>
              </w:rPr>
            </w:pPr>
            <w:r>
              <w:rPr>
                <w:sz w:val="22"/>
              </w:rPr>
              <w:t>Reflexion, Präsentation, Ausstellung, Abschlussreflexion unter Einbeziehung der Einführungsbilder</w:t>
            </w:r>
          </w:p>
        </w:tc>
      </w:tr>
      <w:tr>
        <w:trPr>
          <w:trHeight w:val="372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25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/>
              <w:t xml:space="preserve">Prozessbezogene Kompetenzen </w:t>
            </w:r>
            <w:r>
              <w:rPr>
                <w:sz w:val="20"/>
              </w:rPr>
              <w:t>(Schwerpunkte)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sz w:val="22"/>
              </w:rPr>
              <w:t>Rezeption, Produktion, Reflexion</w:t>
            </w:r>
          </w:p>
        </w:tc>
      </w:tr>
      <w:tr>
        <w:trPr>
          <w:trHeight w:val="60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8"/>
              </w:rPr>
            </w:pPr>
            <w:r>
              <w:rPr>
                <w:sz w:val="8"/>
              </w:rPr>
            </w:r>
          </w:p>
        </w:tc>
      </w:tr>
      <w:tr>
        <w:trPr>
          <w:trHeight w:val="376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  <w:insideH w:val="dotted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Inhaltsbezogene Kompetenzen </w:t>
            </w:r>
            <w:r>
              <w:rPr>
                <w:sz w:val="20"/>
              </w:rPr>
              <w:t>(Teilkompetenznummer)</w:t>
            </w:r>
          </w:p>
        </w:tc>
      </w:tr>
      <w:tr>
        <w:trPr>
          <w:trHeight w:val="2083" w:hRule="atLeast"/>
        </w:trPr>
        <w:tc>
          <w:tcPr>
            <w:tcW w:w="4606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dotted" w:sz="4" w:space="0" w:color="000000"/>
              <w:insideH w:val="single" w:sz="8" w:space="0" w:color="000000"/>
              <w:insideV w:val="dotted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Bild</w:t>
            </w:r>
          </w:p>
          <w:p>
            <w:pPr>
              <w:pStyle w:val="Normal"/>
              <w:spacing w:before="0" w:after="120"/>
              <w:rPr>
                <w:b/>
                <w:b/>
                <w:sz w:val="22"/>
              </w:rPr>
            </w:pPr>
            <w:r>
              <w:rPr>
                <w:sz w:val="22"/>
              </w:rPr>
              <w:t>3.2.1</w:t>
            </w:r>
          </w:p>
          <w:p>
            <w:pPr>
              <w:pStyle w:val="Normal"/>
              <w:spacing w:before="0" w:after="120"/>
              <w:rPr>
                <w:w w:val="95"/>
                <w:sz w:val="22"/>
                <w:szCs w:val="22"/>
              </w:rPr>
            </w:pPr>
            <w:r>
              <w:rPr>
                <w:w w:val="95"/>
                <w:sz w:val="22"/>
                <w:szCs w:val="22"/>
              </w:rPr>
              <w:t>Die Schülerinnen und Schüler können</w:t>
            </w:r>
          </w:p>
          <w:p>
            <w:pPr>
              <w:pStyle w:val="Normal"/>
              <w:spacing w:before="0" w:after="12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(1) Bilder wahrnehmen und unter Verwendung fachsprachlicher Begriffe umfassend beschreiben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(2) Bilder verbal und nonverbal untersuchen und vergleichen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(3) Bilder charakterisieren, differenziert interpretieren und beurteilen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 xml:space="preserve">(4) Bilder in Beziehung zur Produktion und im Wechselspiel mit dem eigenen Tun untersuchen und dabei die enge Verbindung von Erleben und Schaffen erkennen und reflektieren 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(5) Bezüge zu stilistischen, kulturellen, historischen und betrachterbezogenen Bedingungen erkennen und begründen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(6) Erlebnisse und Erfahrungen mit Bildern anderen mitteilen und in unterschiedlicher Form darstellen und präsentieren (mündlich, schriftlich, gestalterisch oder performativ)</w:t>
            </w:r>
          </w:p>
          <w:p>
            <w:pPr>
              <w:pStyle w:val="Normal"/>
              <w:spacing w:before="0" w:after="120"/>
              <w:rPr/>
            </w:pPr>
            <w:r>
              <w:rPr>
                <w:sz w:val="22"/>
              </w:rPr>
              <w:t>(7) Orte und Medien für die Auseinandersetzung mit Bildern nutzen (z. B. Museum, Ausstellung, Computer, Internet, Theater)</w:t>
            </w:r>
          </w:p>
        </w:tc>
        <w:tc>
          <w:tcPr>
            <w:tcW w:w="5953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Fläche, Raum, Zeit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120"/>
              <w:rPr>
                <w:w w:val="95"/>
                <w:sz w:val="22"/>
                <w:szCs w:val="22"/>
              </w:rPr>
            </w:pPr>
            <w:r>
              <w:rPr>
                <w:w w:val="95"/>
                <w:sz w:val="22"/>
                <w:szCs w:val="22"/>
              </w:rPr>
              <w:t>Die Schülerinnen und Schüler können</w:t>
            </w:r>
          </w:p>
          <w:p>
            <w:pPr>
              <w:pStyle w:val="Normal"/>
              <w:spacing w:before="0" w:after="120"/>
              <w:rPr>
                <w:w w:val="95"/>
                <w:sz w:val="22"/>
                <w:szCs w:val="22"/>
              </w:rPr>
            </w:pPr>
            <w:r>
              <w:rPr>
                <w:w w:val="95"/>
                <w:sz w:val="22"/>
                <w:szCs w:val="22"/>
              </w:rPr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Medien 3.2.4.1</w:t>
              <w:br/>
              <w:t>(1) Bilder (z. B. Fotografie, Animation, Film) gestalten und für verschiedene analoge und digitale Medien weiterverarbeiten</w:t>
            </w:r>
          </w:p>
          <w:p>
            <w:pPr>
              <w:pStyle w:val="Normal"/>
              <w:spacing w:before="0" w:after="120"/>
              <w:rPr>
                <w:sz w:val="22"/>
              </w:rPr>
            </w:pPr>
            <w:r>
              <w:rPr>
                <w:sz w:val="22"/>
              </w:rPr>
              <w:t>(2) Bilder digital spielerisch und gezielt verfremden</w:t>
              <w:br/>
            </w:r>
          </w:p>
          <w:p>
            <w:pPr>
              <w:pStyle w:val="Normal"/>
              <w:spacing w:before="0" w:after="120"/>
              <w:rPr/>
            </w:pPr>
            <w:r>
              <w:rPr>
                <w:sz w:val="22"/>
              </w:rPr>
              <w:t>Aktion 3.2.4.2</w:t>
              <w:br/>
              <w:t>(2) einen Inhalt in eine Aktion, eine Szene oder ein Spiel umsetzen und dabei Bewegung, Klang und Sprache absichtsvoll einsetzen</w:t>
            </w:r>
          </w:p>
        </w:tc>
      </w:tr>
      <w:tr>
        <w:trPr>
          <w:trHeight w:val="60" w:hRule="atLeast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  <w:insideH w:val="single" w:sz="8" w:space="0" w:color="000000"/>
              <w:insideV w:val="dotted" w:sz="4" w:space="0" w:color="000000"/>
            </w:tcBorders>
            <w:shd w:fill="auto" w:val="clear"/>
          </w:tcPr>
          <w:p>
            <w:pPr>
              <w:pStyle w:val="Normal"/>
              <w:rPr>
                <w:sz w:val="8"/>
              </w:rPr>
            </w:pPr>
            <w:r>
              <w:rPr>
                <w:sz w:val="8"/>
              </w:rPr>
            </w:r>
          </w:p>
        </w:tc>
        <w:tc>
          <w:tcPr>
            <w:tcW w:w="5953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8"/>
              </w:rPr>
            </w:pPr>
            <w:r>
              <w:rPr>
                <w:sz w:val="8"/>
              </w:rPr>
            </w:r>
          </w:p>
        </w:tc>
      </w:tr>
      <w:tr>
        <w:trPr>
          <w:trHeight w:val="1212" w:hRule="atLeast"/>
        </w:trPr>
        <w:tc>
          <w:tcPr>
            <w:tcW w:w="10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Bezüge zu Leitperspektiven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5" w:name="Kontrollk%25C3%25A4stchen8"/>
            <w:bookmarkStart w:id="36" w:name="__Fieldmark__153_2342156655"/>
            <w:bookmarkStart w:id="37" w:name="__Fieldmark__200_4106788973"/>
            <w:bookmarkStart w:id="38" w:name="__Fieldmark__153_2342156655"/>
            <w:bookmarkStart w:id="39" w:name="__Fieldmark__153_2342156655"/>
            <w:bookmarkEnd w:id="37"/>
            <w:bookmarkEnd w:id="39"/>
            <w:r>
              <w:rPr/>
            </w:r>
            <w:r>
              <w:rPr/>
              <w:fldChar w:fldCharType="end"/>
            </w:r>
            <w:bookmarkEnd w:id="35"/>
            <w:r>
              <w:rPr>
                <w:sz w:val="28"/>
              </w:rPr>
              <w:t xml:space="preserve"> </w:t>
            </w:r>
            <w:r>
              <w:rPr/>
              <w:t xml:space="preserve">BNE,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0" w:name="Kontrollk%25C3%25A4stchen9"/>
            <w:bookmarkStart w:id="41" w:name="__Fieldmark__164_2342156655"/>
            <w:bookmarkStart w:id="42" w:name="__Fieldmark__208_4106788973"/>
            <w:bookmarkStart w:id="43" w:name="__Fieldmark__164_2342156655"/>
            <w:bookmarkStart w:id="44" w:name="__Fieldmark__164_2342156655"/>
            <w:bookmarkEnd w:id="42"/>
            <w:bookmarkEnd w:id="44"/>
            <w:r>
              <w:rPr/>
            </w:r>
            <w:r>
              <w:rPr/>
              <w:fldChar w:fldCharType="end"/>
            </w:r>
            <w:bookmarkEnd w:id="40"/>
            <w:r>
              <w:rPr>
                <w:sz w:val="28"/>
              </w:rPr>
              <w:t xml:space="preserve"> </w:t>
            </w:r>
            <w:r>
              <w:rPr/>
              <w:t xml:space="preserve">BO,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5" w:name="Kontrollk%25C3%25A4stchen10"/>
            <w:bookmarkStart w:id="46" w:name="__Fieldmark__175_2342156655"/>
            <w:bookmarkStart w:id="47" w:name="__Fieldmark__216_4106788973"/>
            <w:bookmarkStart w:id="48" w:name="__Fieldmark__175_2342156655"/>
            <w:bookmarkStart w:id="49" w:name="__Fieldmark__175_2342156655"/>
            <w:bookmarkEnd w:id="47"/>
            <w:bookmarkEnd w:id="49"/>
            <w:r>
              <w:rPr/>
            </w:r>
            <w:r>
              <w:rPr/>
              <w:fldChar w:fldCharType="end"/>
            </w:r>
            <w:bookmarkEnd w:id="45"/>
            <w:r>
              <w:rPr>
                <w:sz w:val="28"/>
              </w:rPr>
              <w:t xml:space="preserve"> </w:t>
            </w:r>
            <w:r>
              <w:rPr/>
              <w:t xml:space="preserve">BTV,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0" w:name="Kontrollk%25C3%25A4stchen11"/>
            <w:bookmarkStart w:id="51" w:name="__Fieldmark__186_2342156655"/>
            <w:bookmarkStart w:id="52" w:name="__Fieldmark__223_4106788973"/>
            <w:bookmarkStart w:id="53" w:name="__Fieldmark__186_2342156655"/>
            <w:bookmarkStart w:id="54" w:name="__Fieldmark__186_2342156655"/>
            <w:bookmarkEnd w:id="52"/>
            <w:bookmarkEnd w:id="54"/>
            <w:r>
              <w:rPr/>
            </w:r>
            <w:r>
              <w:rPr/>
              <w:fldChar w:fldCharType="end"/>
            </w:r>
            <w:bookmarkEnd w:id="50"/>
            <w:r>
              <w:rPr>
                <w:sz w:val="28"/>
              </w:rPr>
              <w:t xml:space="preserve"> </w:t>
            </w:r>
            <w:r>
              <w:rPr/>
              <w:t xml:space="preserve">MB,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5" w:name="Kontrollk%25C3%25A4stchen12"/>
            <w:bookmarkStart w:id="56" w:name="__Fieldmark__197_2342156655"/>
            <w:bookmarkStart w:id="57" w:name="__Fieldmark__231_4106788973"/>
            <w:bookmarkStart w:id="58" w:name="__Fieldmark__197_2342156655"/>
            <w:bookmarkStart w:id="59" w:name="__Fieldmark__197_2342156655"/>
            <w:bookmarkEnd w:id="57"/>
            <w:bookmarkEnd w:id="59"/>
            <w:r>
              <w:rPr/>
            </w:r>
            <w:r>
              <w:rPr/>
              <w:fldChar w:fldCharType="end"/>
            </w:r>
            <w:bookmarkEnd w:id="55"/>
            <w:r>
              <w:rPr>
                <w:sz w:val="28"/>
              </w:rPr>
              <w:t xml:space="preserve"> </w:t>
            </w:r>
            <w:r>
              <w:rPr/>
              <w:t xml:space="preserve">VB,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0" w:name="Kontrollk%25C3%25A4stchen13"/>
            <w:bookmarkStart w:id="61" w:name="__Fieldmark__208_2342156655"/>
            <w:bookmarkStart w:id="62" w:name="__Fieldmark__239_4106788973"/>
            <w:bookmarkStart w:id="63" w:name="__Fieldmark__208_2342156655"/>
            <w:bookmarkStart w:id="64" w:name="__Fieldmark__208_2342156655"/>
            <w:bookmarkEnd w:id="62"/>
            <w:bookmarkEnd w:id="64"/>
            <w:r>
              <w:rPr/>
            </w:r>
            <w:r>
              <w:rPr/>
              <w:fldChar w:fldCharType="end"/>
            </w:r>
            <w:bookmarkEnd w:id="60"/>
            <w:r>
              <w:rPr>
                <w:sz w:val="28"/>
              </w:rPr>
              <w:t xml:space="preserve"> </w:t>
            </w:r>
            <w:r>
              <w:rPr/>
              <w:t>PG</w:t>
            </w:r>
          </w:p>
        </w:tc>
      </w:tr>
    </w:tbl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mc:AlternateContent>
          <mc:Choice Requires="wps">
            <w:drawing>
              <wp:anchor behindDoc="0" distT="0" distB="0" distL="113982" distR="114300" simplePos="0" locked="0" layoutInCell="1" allowOverlap="1" relativeHeight="8" wp14:anchorId="26D05E83">
                <wp:simplePos x="0" y="0"/>
                <wp:positionH relativeFrom="column">
                  <wp:posOffset>-1010920</wp:posOffset>
                </wp:positionH>
                <wp:positionV relativeFrom="paragraph">
                  <wp:posOffset>1027430</wp:posOffset>
                </wp:positionV>
                <wp:extent cx="8217535" cy="6162040"/>
                <wp:effectExtent l="11748" t="0" r="0" b="0"/>
                <wp:wrapTopAndBottom/>
                <wp:docPr id="1" name="Grafik 3" descr="F:\DCIM\113MSDCF\DSC00289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 descr="F:\DCIM\113MSDCF\DSC00289.JPG"/>
                        <pic:cNvPicPr/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 rot="5400000">
                          <a:off x="0" y="0"/>
                          <a:ext cx="8217000" cy="616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Grafik 3" stroked="f" style="position:absolute;margin-left:-79.6pt;margin-top:80.9pt;width:646.95pt;height:485.1pt;rotation:90" wp14:anchorId="26D05E83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9" wp14:anchorId="7DE894AC">
                <wp:simplePos x="0" y="0"/>
                <wp:positionH relativeFrom="column">
                  <wp:posOffset>3810</wp:posOffset>
                </wp:positionH>
                <wp:positionV relativeFrom="paragraph">
                  <wp:posOffset>153670</wp:posOffset>
                </wp:positionV>
                <wp:extent cx="6600190" cy="4949190"/>
                <wp:effectExtent l="0" t="0" r="5080" b="5080"/>
                <wp:wrapTopAndBottom/>
                <wp:docPr id="2" name="Grafik 4" descr="F:\DCIM\113MSDCF\DSC00290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4" descr="F:\DCIM\113MSDCF\DSC00290.JPG"/>
                        <pic:cNvPicPr/>
                      </pic:nvPicPr>
                      <pic:blipFill>
                        <a:blip r:embed="rId4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brightnessContrast bright="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6599520" cy="4948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Grafik 4" stroked="f" style="position:absolute;margin-left:0.3pt;margin-top:12.1pt;width:519.6pt;height:389.6pt" wp14:anchorId="7DE894AC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>
          <w:b/>
          <w:b/>
        </w:rPr>
      </w:pPr>
      <w:r>
        <w:rPr>
          <w:b/>
        </w:rPr>
      </w:r>
    </w:p>
    <w:p>
      <w:pPr>
        <w:pStyle w:val="Textkrper"/>
        <w:rPr>
          <w:b/>
          <w:b/>
        </w:rPr>
      </w:pPr>
      <w:r>
        <w:rPr>
          <w:b/>
        </w:rPr>
      </w:r>
    </w:p>
    <w:p>
      <w:pPr>
        <w:pStyle w:val="Textkrper"/>
        <w:rPr>
          <w:b/>
          <w:b/>
        </w:rPr>
      </w:pPr>
      <w:r>
        <w:rPr>
          <w:b/>
        </w:rPr>
        <w:t xml:space="preserve">Bildbetrachtung </w:t>
      </w:r>
    </w:p>
    <w:p>
      <w:pPr>
        <w:pStyle w:val="Textkrper"/>
        <w:rPr>
          <w:b/>
          <w:b/>
        </w:rPr>
      </w:pPr>
      <w:r>
        <w:rPr>
          <w:b/>
        </w:rPr>
      </w:r>
    </w:p>
    <w:p>
      <w:pPr>
        <w:pStyle w:val="Textkrper"/>
        <w:rPr>
          <w:b/>
          <w:b/>
        </w:rPr>
      </w:pPr>
      <w:r>
        <w:rPr>
          <w:b/>
        </w:rPr>
        <w:t>Douglas Gordon,  „Monster Reborn“,</w:t>
      </w:r>
      <w:bookmarkStart w:id="65" w:name="_GoBack"/>
      <w:bookmarkEnd w:id="65"/>
      <w:r>
        <w:rPr>
          <w:b/>
        </w:rPr>
        <w:t xml:space="preserve"> 1996 / 2002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pBdr>
          <w:top w:val="single" w:sz="2" w:space="1" w:color="000000" w:shadow="1"/>
          <w:left w:val="single" w:sz="2" w:space="1" w:color="000000" w:shadow="1"/>
          <w:bottom w:val="single" w:sz="2" w:space="1" w:color="000000" w:shadow="1"/>
          <w:right w:val="single" w:sz="2" w:space="1" w:color="000000" w:shadow="1"/>
        </w:pBdr>
        <w:rPr/>
      </w:pPr>
      <w:r>
        <w:rPr/>
      </w:r>
    </w:p>
    <w:p>
      <w:pPr>
        <w:pStyle w:val="Textkrper"/>
        <w:pBdr>
          <w:top w:val="single" w:sz="2" w:space="1" w:color="000000" w:shadow="1"/>
          <w:left w:val="single" w:sz="2" w:space="1" w:color="000000" w:shadow="1"/>
          <w:bottom w:val="single" w:sz="2" w:space="1" w:color="000000" w:shadow="1"/>
          <w:right w:val="single" w:sz="2" w:space="1" w:color="000000" w:shadow="1"/>
        </w:pBdr>
        <w:rPr/>
      </w:pPr>
      <w:r>
        <w:rPr/>
        <w:t>Hinweis</w:t>
      </w:r>
      <w:r>
        <w:rPr/>
        <w:t>:</w:t>
      </w:r>
    </w:p>
    <w:p>
      <w:pPr>
        <w:pStyle w:val="Textkrper"/>
        <w:pBdr>
          <w:top w:val="single" w:sz="2" w:space="1" w:color="000000" w:shadow="1"/>
          <w:left w:val="single" w:sz="2" w:space="1" w:color="000000" w:shadow="1"/>
          <w:bottom w:val="single" w:sz="2" w:space="1" w:color="000000" w:shadow="1"/>
          <w:right w:val="single" w:sz="2" w:space="1" w:color="000000" w:shadow="1"/>
        </w:pBdr>
        <w:rPr/>
      </w:pPr>
      <w:r>
        <w:rPr/>
        <w:t xml:space="preserve"> </w:t>
      </w:r>
    </w:p>
    <w:p>
      <w:pPr>
        <w:pStyle w:val="Textkrper"/>
        <w:pBdr>
          <w:top w:val="single" w:sz="2" w:space="1" w:color="000000" w:shadow="1"/>
          <w:left w:val="single" w:sz="2" w:space="1" w:color="000000" w:shadow="1"/>
          <w:bottom w:val="single" w:sz="2" w:space="1" w:color="000000" w:shadow="1"/>
          <w:right w:val="single" w:sz="2" w:space="1" w:color="000000" w:shadow="1"/>
        </w:pBdr>
        <w:rPr/>
      </w:pPr>
      <w:r>
        <w:rPr/>
        <w:t>Schautafel zum Bild „Monster Reborn“ von Douglas Gordon</w:t>
      </w:r>
    </w:p>
    <w:p>
      <w:pPr>
        <w:pStyle w:val="Textkrper"/>
        <w:pBdr>
          <w:top w:val="single" w:sz="2" w:space="1" w:color="000000" w:shadow="1"/>
          <w:left w:val="single" w:sz="2" w:space="1" w:color="000000" w:shadow="1"/>
          <w:bottom w:val="single" w:sz="2" w:space="1" w:color="000000" w:shadow="1"/>
          <w:right w:val="single" w:sz="2" w:space="1" w:color="000000" w:shadow="1"/>
        </w:pBdr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mögliche Ergebnisse: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drawing>
          <wp:inline distT="0" distB="0" distL="0" distR="0">
            <wp:extent cx="6591300" cy="2247900"/>
            <wp:effectExtent l="0" t="0" r="0" b="0"/>
            <wp:docPr id="3" name="Bild 9" descr="MAC-SSD:Users:paulvelthaus:Desktop:BPL 2016 - Lehrgang Rotenfels 2016_01:Fotos:BPL 2016 - Erlasslehrgang Rotenfels_2016_01_Teilnehmerergebnisse praktisch-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9" descr="MAC-SSD:Users:paulvelthaus:Desktop:BPL 2016 - Lehrgang Rotenfels 2016_01:Fotos:BPL 2016 - Erlasslehrgang Rotenfels_2016_01_Teilnehmerergebnisse praktisch-1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Bildquelle: ZP Sek1 BK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Einführung in den Kubismus: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 xml:space="preserve">                           </w:t>
      </w:r>
    </w:p>
    <w:p>
      <w:pPr>
        <w:pStyle w:val="Textkrper"/>
        <w:rPr/>
      </w:pPr>
      <w:r>
        <w:rPr/>
        <w:t>Vergleichende Bildanalyse mit Picassos „Ambroise Vollard“, 1910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mögliche Ergebnisse: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drawing>
          <wp:anchor behindDoc="0" distT="0" distB="3810" distL="114300" distR="126365" simplePos="0" locked="0" layoutInCell="1" allowOverlap="1" relativeHeight="10">
            <wp:simplePos x="0" y="0"/>
            <wp:positionH relativeFrom="column">
              <wp:posOffset>63500</wp:posOffset>
            </wp:positionH>
            <wp:positionV relativeFrom="paragraph">
              <wp:posOffset>213360</wp:posOffset>
            </wp:positionV>
            <wp:extent cx="4686935" cy="7057390"/>
            <wp:effectExtent l="0" t="0" r="0" b="0"/>
            <wp:wrapTopAndBottom/>
            <wp:docPr id="4" name="Bild 5" descr="MAC-SSD:Users:paulvelthaus:Desktop:BPL 2016 - Lehrgang Rotenfels 2016_01:Fotos:BPL 2016 - Erlasslehrgang Rotenfels_2016_01_Teilnehmerergebnisse praktisch-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5" descr="MAC-SSD:Users:paulvelthaus:Desktop:BPL 2016 - Lehrgang Rotenfels 2016_01:Fotos:BPL 2016 - Erlasslehrgang Rotenfels_2016_01_Teilnehmerergebnisse praktisch-10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705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Bildquelle: ZP Sek1 BK</w:t>
      </w:r>
    </w:p>
    <w:sectPr>
      <w:headerReference w:type="default" r:id="rId9"/>
      <w:type w:val="nextPage"/>
      <w:pgSz w:w="11906" w:h="16838"/>
      <w:pgMar w:left="794" w:right="720" w:header="680" w:top="737" w:footer="0" w:bottom="51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Wingding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Berschrift1"/>
      <w:rPr>
        <w:sz w:val="28"/>
      </w:rPr>
    </w:pPr>
    <w:r>
      <w:drawing>
        <wp:anchor behindDoc="1" distT="0" distB="0" distL="114300" distR="114300" simplePos="0" locked="0" layoutInCell="1" allowOverlap="1" relativeHeight="7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5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1" descr="ibK_Strukturgrafi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8"/>
      </w:rPr>
      <w:t>B</w:t>
    </w:r>
    <w:r>
      <w:rPr>
        <w:sz w:val="28"/>
      </w:rPr>
      <w:t xml:space="preserve">ildende Kunst </w:t>
    </w:r>
    <w:r>
      <w:rPr/>
      <w:tab/>
      <w:tab/>
      <w:tab/>
      <w:tab/>
      <w:tab/>
      <w:tab/>
      <w:tab/>
    </w:r>
    <w:r>
      <w:rPr>
        <w:sz w:val="28"/>
      </w:rPr>
      <w:t>Bildungsplan 2016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de-DE" w:eastAsia="de-DE" w:bidi="ar-SA"/>
    </w:rPr>
  </w:style>
  <w:style w:type="paragraph" w:styleId="Berschrift1">
    <w:name w:val="Heading 1"/>
    <w:basedOn w:val="Normal"/>
    <w:next w:val="Normal"/>
    <w:qFormat/>
    <w:pPr>
      <w:keepNext w:val="true"/>
      <w:jc w:val="both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unotenanker">
    <w:name w:val="Fußnotenanker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Endnotenanker">
    <w:name w:val="Endnotenanker"/>
    <w:rPr>
      <w:vertAlign w:val="superscript"/>
    </w:rPr>
  </w:style>
  <w:style w:type="character" w:styleId="EndnoteCharacters">
    <w:name w:val="Endnote Characters"/>
    <w:semiHidden/>
    <w:qFormat/>
    <w:rPr>
      <w:vertAlign w:val="superscript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extkrper">
    <w:name w:val="Body Text"/>
    <w:basedOn w:val="Normal"/>
    <w:semiHidden/>
    <w:pPr/>
    <w:rPr>
      <w:sz w:val="20"/>
    </w:rPr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Kopfzeile">
    <w:name w:val="Header"/>
    <w:basedOn w:val="Normal"/>
    <w:semiHidden/>
    <w:pPr>
      <w:tabs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semiHidden/>
    <w:pPr>
      <w:tabs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semiHidden/>
    <w:qFormat/>
    <w:pPr>
      <w:jc w:val="both"/>
    </w:pPr>
    <w:rPr>
      <w:sz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Funote">
    <w:name w:val="Footnote Text"/>
    <w:basedOn w:val="Normal"/>
    <w:semiHidden/>
    <w:pPr/>
    <w:rPr>
      <w:sz w:val="20"/>
    </w:rPr>
  </w:style>
  <w:style w:type="paragraph" w:styleId="Endnote">
    <w:name w:val="Endnote Text"/>
    <w:basedOn w:val="Normal"/>
    <w:semiHidden/>
    <w:pPr/>
    <w:rPr>
      <w:sz w:val="20"/>
    </w:rPr>
  </w:style>
  <w:style w:type="paragraph" w:styleId="BodyText3">
    <w:name w:val="Body Text 3"/>
    <w:basedOn w:val="Normal"/>
    <w:semiHidden/>
    <w:qFormat/>
    <w:pPr>
      <w:jc w:val="both"/>
    </w:pPr>
    <w:rPr>
      <w:b/>
      <w:bCs/>
      <w:szCs w:val="24"/>
    </w:rPr>
  </w:style>
  <w:style w:type="paragraph" w:styleId="ListParagraph">
    <w:name w:val="List Paragraph"/>
    <w:basedOn w:val="Normal"/>
    <w:uiPriority w:val="34"/>
    <w:qFormat/>
    <w:rsid w:val="000d2c7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microsoft.com/office/2007/relationships/hdphoto" Target="media/hdphoto1.wdp"/><Relationship Id="rId4" Type="http://schemas.openxmlformats.org/officeDocument/2006/relationships/image" Target="media/image2.jpeg"/><Relationship Id="rId5" Type="http://schemas.microsoft.com/office/2007/relationships/hdphoto" Target="media/hdphoto2.wdp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D78D-1AED-4693-A2EE-7B188182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10</TotalTime>
  <Application>LibreOffice/6.0.4.2$Linux_X86_64 LibreOffice_project/00m0$Build-2</Application>
  <Pages>6</Pages>
  <Words>382</Words>
  <Characters>2720</Characters>
  <CharactersWithSpaces>3128</CharactersWithSpaces>
  <Paragraphs>59</Paragraphs>
  <Company>Kultusverwaltung Baden-Württemberg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2016-01-26T18:50:00Z</dcterms:created>
  <dc:creator>Test</dc:creator>
  <dc:description/>
  <dc:language>de-DE</dc:language>
  <cp:lastModifiedBy>Michael Sedding</cp:lastModifiedBy>
  <cp:lastPrinted>2016-01-26T16:13:00Z</cp:lastPrinted>
  <dcterms:modified xsi:type="dcterms:W3CDTF">2018-06-24T22:46:24Z</dcterms:modified>
  <cp:revision>14</cp:revision>
  <dc:subject/>
  <dc:title>SCHULKUNST 2004/05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Kultusverwaltung Baden-Württemberg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