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D1" w:rsidRPr="00BB3421" w:rsidRDefault="001C67D1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b/>
          <w:sz w:val="24"/>
          <w:szCs w:val="20"/>
        </w:rPr>
      </w:pPr>
      <w:r w:rsidRPr="00BB3421">
        <w:rPr>
          <w:rFonts w:ascii="LinotypeUnivers-530Medium" w:hAnsi="LinotypeUnivers-530Medium" w:cs="LinotypeUnivers-530Medium"/>
          <w:b/>
          <w:sz w:val="24"/>
          <w:szCs w:val="20"/>
        </w:rPr>
        <w:t>Einleitung Unterrichtsbeispiel Streetball</w:t>
      </w:r>
    </w:p>
    <w:p w:rsidR="001C67D1" w:rsidRPr="00BB3421" w:rsidRDefault="001C67D1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b/>
          <w:sz w:val="24"/>
          <w:szCs w:val="20"/>
        </w:rPr>
      </w:pPr>
    </w:p>
    <w:p w:rsidR="001C67D1" w:rsidRDefault="001C67D1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sz w:val="20"/>
          <w:szCs w:val="20"/>
        </w:rPr>
      </w:pPr>
    </w:p>
    <w:p w:rsidR="0060304E" w:rsidRDefault="0060304E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sz w:val="20"/>
          <w:szCs w:val="20"/>
        </w:rPr>
      </w:pPr>
      <w:r>
        <w:rPr>
          <w:rFonts w:ascii="LinotypeUnivers-530Medium" w:hAnsi="LinotypeUnivers-530Medium" w:cs="LinotypeUnivers-530Medium"/>
          <w:sz w:val="20"/>
          <w:szCs w:val="20"/>
        </w:rPr>
        <w:t>Die Schülerinnen und Schüler können die Teilkompetenzen des Inhaltsbereichs „Spielen“ in weiteren</w:t>
      </w:r>
    </w:p>
    <w:p w:rsidR="0060304E" w:rsidRDefault="0060304E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sz w:val="20"/>
          <w:szCs w:val="20"/>
        </w:rPr>
      </w:pPr>
      <w:r>
        <w:rPr>
          <w:rFonts w:ascii="LinotypeUnivers-530Medium" w:hAnsi="LinotypeUnivers-530Medium" w:cs="LinotypeUnivers-530Medium"/>
          <w:sz w:val="20"/>
          <w:szCs w:val="20"/>
        </w:rPr>
        <w:t>Bewegungs- und Sportbereichen (zum Beispiel Badminton, Ultimate Frisbee) oder auf einem höheren Niveau (zum Beispiel taktische Fähigkeiten, Bewegungsqualität, komplexere, situative Anforderungen, konditionelle Fähigkeiten)</w:t>
      </w:r>
      <w:r w:rsidRPr="0060304E">
        <w:rPr>
          <w:rFonts w:ascii="LinotypeUnivers-530Medium" w:hAnsi="LinotypeUnivers-530Medium" w:cs="LinotypeUnivers-530Medium"/>
          <w:sz w:val="20"/>
          <w:szCs w:val="20"/>
        </w:rPr>
        <w:t xml:space="preserve"> </w:t>
      </w:r>
      <w:r>
        <w:rPr>
          <w:rFonts w:ascii="LinotypeUnivers-530Medium" w:hAnsi="LinotypeUnivers-530Medium" w:cs="LinotypeUnivers-530Medium"/>
          <w:sz w:val="20"/>
          <w:szCs w:val="20"/>
        </w:rPr>
        <w:t xml:space="preserve">anwenden. </w:t>
      </w:r>
    </w:p>
    <w:p w:rsidR="00ED183D" w:rsidRDefault="0060304E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sz w:val="20"/>
          <w:szCs w:val="20"/>
        </w:rPr>
      </w:pPr>
      <w:r>
        <w:rPr>
          <w:rFonts w:ascii="LinotypeUnivers-530Medium" w:hAnsi="LinotypeUnivers-530Medium" w:cs="LinotypeUnivers-530Medium"/>
          <w:sz w:val="20"/>
          <w:szCs w:val="20"/>
        </w:rPr>
        <w:t>Durch Unterrichtsvorhaben erfahren die Schülerinnen und Schüler weitere Anregungen für ihre Sinnfindung auf dem We</w:t>
      </w:r>
      <w:bookmarkStart w:id="0" w:name="_GoBack"/>
      <w:bookmarkEnd w:id="0"/>
      <w:r>
        <w:rPr>
          <w:rFonts w:ascii="LinotypeUnivers-530Medium" w:hAnsi="LinotypeUnivers-530Medium" w:cs="LinotypeUnivers-530Medium"/>
          <w:sz w:val="20"/>
          <w:szCs w:val="20"/>
        </w:rPr>
        <w:t>g zu einem lebenslangen Sport treiben.</w:t>
      </w:r>
    </w:p>
    <w:p w:rsidR="0060304E" w:rsidRDefault="0060304E" w:rsidP="0060304E">
      <w:pPr>
        <w:autoSpaceDE w:val="0"/>
        <w:autoSpaceDN w:val="0"/>
        <w:adjustRightInd w:val="0"/>
        <w:spacing w:after="0" w:line="240" w:lineRule="auto"/>
        <w:rPr>
          <w:rFonts w:ascii="LinotypeUnivers-530Medium" w:hAnsi="LinotypeUnivers-530Medium" w:cs="LinotypeUnivers-530Medium"/>
          <w:sz w:val="20"/>
          <w:szCs w:val="20"/>
        </w:rPr>
      </w:pPr>
    </w:p>
    <w:p w:rsidR="0060304E" w:rsidRDefault="0060304E" w:rsidP="0060304E">
      <w:pPr>
        <w:autoSpaceDE w:val="0"/>
        <w:autoSpaceDN w:val="0"/>
        <w:adjustRightInd w:val="0"/>
        <w:spacing w:after="0" w:line="240" w:lineRule="auto"/>
      </w:pPr>
      <w:r>
        <w:t xml:space="preserve">In diesem Umsetzungsbeispiel werden folgende sportpädagogischen Perspektiven in den Mittelpunkt des Unterrichts gestellt: </w:t>
      </w:r>
    </w:p>
    <w:p w:rsidR="0060304E" w:rsidRDefault="0060304E" w:rsidP="001C67D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Wahrnehmungsfähigkeit verbessern und Bewegungserfahrungen erweitern </w:t>
      </w:r>
    </w:p>
    <w:p w:rsidR="0060304E" w:rsidRDefault="0060304E" w:rsidP="001C67D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gemeinsam handeln, </w:t>
      </w:r>
      <w:proofErr w:type="spellStart"/>
      <w:r>
        <w:t>wettkämpfen</w:t>
      </w:r>
      <w:proofErr w:type="spellEnd"/>
      <w:r>
        <w:t xml:space="preserve"> und sich verständigen </w:t>
      </w:r>
    </w:p>
    <w:p w:rsidR="0060304E" w:rsidRDefault="0060304E" w:rsidP="001C67D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das Leisten erfahren und reflektieren </w:t>
      </w:r>
    </w:p>
    <w:p w:rsidR="001C67D1" w:rsidRDefault="001C67D1" w:rsidP="001C67D1">
      <w:pPr>
        <w:pStyle w:val="Listenabsatz"/>
        <w:autoSpaceDE w:val="0"/>
        <w:autoSpaceDN w:val="0"/>
        <w:adjustRightInd w:val="0"/>
        <w:spacing w:after="0" w:line="240" w:lineRule="auto"/>
      </w:pPr>
    </w:p>
    <w:p w:rsidR="0060304E" w:rsidRDefault="0060304E" w:rsidP="0060304E">
      <w:pPr>
        <w:autoSpaceDE w:val="0"/>
        <w:autoSpaceDN w:val="0"/>
        <w:adjustRightInd w:val="0"/>
        <w:spacing w:after="0" w:line="240" w:lineRule="auto"/>
      </w:pPr>
      <w:r>
        <w:t xml:space="preserve">Die weiteren Perspektiven „etwas wagen und verantworten“ und „Gesundheit verbessern und Gesundheitsbewusstsein entwickeln“ finden nachrangig Berücksichtigung. </w:t>
      </w:r>
    </w:p>
    <w:p w:rsidR="0060304E" w:rsidRDefault="0060304E" w:rsidP="0060304E">
      <w:pPr>
        <w:autoSpaceDE w:val="0"/>
        <w:autoSpaceDN w:val="0"/>
        <w:adjustRightInd w:val="0"/>
        <w:spacing w:after="0" w:line="240" w:lineRule="auto"/>
      </w:pPr>
      <w:r>
        <w:t>Die Perspektive „sich körperlich ausdrücken und Bewegungen gestalten“ findet in diesem Bereich keine Berücksichtigung.</w:t>
      </w:r>
    </w:p>
    <w:sectPr w:rsidR="006030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otypeUnivers-530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0E35"/>
    <w:multiLevelType w:val="hybridMultilevel"/>
    <w:tmpl w:val="774AC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4E"/>
    <w:rsid w:val="001C67D1"/>
    <w:rsid w:val="0060304E"/>
    <w:rsid w:val="00AA71C8"/>
    <w:rsid w:val="00BB3421"/>
    <w:rsid w:val="00E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67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6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 Dischinger</dc:creator>
  <cp:lastModifiedBy>Baur-Fettah, Yasmin (LIS)</cp:lastModifiedBy>
  <cp:revision>3</cp:revision>
  <dcterms:created xsi:type="dcterms:W3CDTF">2019-07-02T10:34:00Z</dcterms:created>
  <dcterms:modified xsi:type="dcterms:W3CDTF">2019-07-02T10:41:00Z</dcterms:modified>
</cp:coreProperties>
</file>