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1E" w:rsidRDefault="00CA601E" w:rsidP="001036B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401133" w:rsidRPr="001036B5" w:rsidRDefault="001036B5" w:rsidP="001036B5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Wo stehe ich? Was kann ich? Was kann ich nicht?</w:t>
      </w: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</w:p>
    <w:p w:rsidR="00401133" w:rsidRDefault="00401133" w:rsidP="0040113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Fülle die folgende Tabelle</w:t>
      </w:r>
      <w:r w:rsidR="001036B5">
        <w:rPr>
          <w:rFonts w:cs="Arial"/>
          <w:sz w:val="24"/>
          <w:szCs w:val="24"/>
        </w:rPr>
        <w:t xml:space="preserve"> nach den folgenden Kriterien aus: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A"/>
      </w:r>
      <w:r>
        <w:rPr>
          <w:rFonts w:cs="Arial"/>
          <w:sz w:val="24"/>
          <w:szCs w:val="24"/>
        </w:rPr>
        <w:tab/>
        <w:t>Das kann ich schon, da bin ich mir sicher!</w:t>
      </w: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B"/>
      </w:r>
      <w:r>
        <w:rPr>
          <w:rFonts w:cs="Arial"/>
          <w:sz w:val="24"/>
          <w:szCs w:val="24"/>
        </w:rPr>
        <w:tab/>
        <w:t>Das habe ich verstanden, sollte jedoch noch üben!</w:t>
      </w:r>
    </w:p>
    <w:p w:rsidR="001036B5" w:rsidRDefault="001036B5" w:rsidP="00C33EDE">
      <w:pPr>
        <w:spacing w:after="0" w:line="240" w:lineRule="auto"/>
        <w:ind w:left="705" w:hanging="705"/>
        <w:jc w:val="both"/>
        <w:rPr>
          <w:rFonts w:cs="Arial"/>
          <w:sz w:val="24"/>
          <w:szCs w:val="24"/>
        </w:rPr>
      </w:pPr>
      <w:r w:rsidRPr="001036B5">
        <w:rPr>
          <w:rFonts w:cs="Arial"/>
          <w:sz w:val="24"/>
          <w:szCs w:val="24"/>
        </w:rPr>
        <w:sym w:font="Wingdings" w:char="F04C"/>
      </w:r>
      <w:r>
        <w:rPr>
          <w:rFonts w:cs="Arial"/>
          <w:sz w:val="24"/>
          <w:szCs w:val="24"/>
        </w:rPr>
        <w:tab/>
        <w:t>Das kann ich noch nicht -  mit dem Buch, meinem Heft oder Mitschülern versuche ich es zu verstehen. Sollte das nicht funktionieren, notiere ich meine Fragen für die kommende Unterrichtsstunde</w:t>
      </w:r>
      <w:r w:rsidR="00C33EDE">
        <w:rPr>
          <w:rFonts w:cs="Arial"/>
          <w:sz w:val="24"/>
          <w:szCs w:val="24"/>
        </w:rPr>
        <w:t>.</w:t>
      </w:r>
    </w:p>
    <w:p w:rsidR="00F90344" w:rsidRDefault="00F90344" w:rsidP="00C33EDE">
      <w:pPr>
        <w:spacing w:after="0" w:line="240" w:lineRule="auto"/>
        <w:ind w:left="705" w:hanging="705"/>
        <w:jc w:val="both"/>
        <w:rPr>
          <w:rFonts w:cs="Arial"/>
          <w:sz w:val="24"/>
          <w:szCs w:val="24"/>
        </w:rPr>
      </w:pPr>
    </w:p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31"/>
        <w:gridCol w:w="419"/>
        <w:gridCol w:w="419"/>
        <w:gridCol w:w="419"/>
      </w:tblGrid>
      <w:tr w:rsidR="001036B5" w:rsidTr="00C33EDE">
        <w:tc>
          <w:tcPr>
            <w:tcW w:w="8031" w:type="dxa"/>
            <w:shd w:val="clear" w:color="auto" w:fill="D9D9D9" w:themeFill="background1" w:themeFillShade="D9"/>
          </w:tcPr>
          <w:p w:rsidR="001036B5" w:rsidRPr="00F90344" w:rsidRDefault="00F90344" w:rsidP="00401133">
            <w:pPr>
              <w:rPr>
                <w:rFonts w:cs="Arial"/>
                <w:b/>
                <w:sz w:val="24"/>
                <w:szCs w:val="24"/>
              </w:rPr>
            </w:pPr>
            <w:r w:rsidRPr="00F90344">
              <w:rPr>
                <w:rFonts w:cs="Arial"/>
                <w:b/>
                <w:sz w:val="24"/>
                <w:szCs w:val="24"/>
              </w:rPr>
              <w:t>Kongruenz</w:t>
            </w:r>
            <w:r>
              <w:rPr>
                <w:rFonts w:cs="Arial"/>
                <w:b/>
                <w:sz w:val="24"/>
                <w:szCs w:val="24"/>
              </w:rPr>
              <w:t>, Definieren, Ordnen und Beweisen</w:t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A"/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B"/>
            </w:r>
          </w:p>
        </w:tc>
        <w:tc>
          <w:tcPr>
            <w:tcW w:w="419" w:type="dxa"/>
            <w:shd w:val="clear" w:color="auto" w:fill="D9D9D9" w:themeFill="background1" w:themeFillShade="D9"/>
          </w:tcPr>
          <w:p w:rsidR="001036B5" w:rsidRDefault="001036B5" w:rsidP="001036B5">
            <w:pPr>
              <w:jc w:val="center"/>
              <w:rPr>
                <w:rFonts w:cs="Arial"/>
                <w:sz w:val="24"/>
                <w:szCs w:val="24"/>
              </w:rPr>
            </w:pPr>
            <w:r w:rsidRPr="001036B5">
              <w:rPr>
                <w:rFonts w:cs="Arial"/>
                <w:sz w:val="24"/>
                <w:szCs w:val="24"/>
              </w:rPr>
              <w:sym w:font="Wingdings" w:char="F04C"/>
            </w:r>
          </w:p>
        </w:tc>
      </w:tr>
      <w:tr w:rsidR="001036B5" w:rsidTr="00C33EDE">
        <w:tc>
          <w:tcPr>
            <w:tcW w:w="8031" w:type="dxa"/>
          </w:tcPr>
          <w:p w:rsidR="001036B5" w:rsidRPr="00F90344" w:rsidRDefault="00F90344" w:rsidP="002A7A1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den Begriff 'kongruent' definieren.</w:t>
            </w: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C33EDE">
        <w:tc>
          <w:tcPr>
            <w:tcW w:w="8031" w:type="dxa"/>
          </w:tcPr>
          <w:p w:rsidR="001036B5" w:rsidRP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erkenne, ob zwei oder mehrere Figuren zueinander kongruent sind.</w:t>
            </w: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C33EDE">
        <w:tc>
          <w:tcPr>
            <w:tcW w:w="8031" w:type="dxa"/>
          </w:tcPr>
          <w:p w:rsidR="001036B5" w:rsidRP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die Kongruenzsätze.</w:t>
            </w: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1036B5" w:rsidTr="00C33EDE">
        <w:tc>
          <w:tcPr>
            <w:tcW w:w="8031" w:type="dxa"/>
          </w:tcPr>
          <w:p w:rsidR="001036B5" w:rsidRP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die Kongruenzsätze anwenden.</w:t>
            </w: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1036B5" w:rsidRDefault="001036B5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F90344" w:rsidTr="00C33EDE">
        <w:tc>
          <w:tcPr>
            <w:tcW w:w="8031" w:type="dxa"/>
          </w:tcPr>
          <w:p w:rsid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Teildreiecke mit den Kongruenzsätzen eindeutig bestimmen.</w:t>
            </w: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F90344" w:rsidTr="00C33EDE">
        <w:tc>
          <w:tcPr>
            <w:tcW w:w="8031" w:type="dxa"/>
          </w:tcPr>
          <w:p w:rsid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Vierecke konstruieren.</w:t>
            </w: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F90344" w:rsidTr="00C33EDE">
        <w:tc>
          <w:tcPr>
            <w:tcW w:w="8031" w:type="dxa"/>
          </w:tcPr>
          <w:p w:rsid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entscheiden, ob zwei Vierecke zueinander kongruent sind.</w:t>
            </w: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F90344" w:rsidTr="00C33EDE">
        <w:tc>
          <w:tcPr>
            <w:tcW w:w="8031" w:type="dxa"/>
          </w:tcPr>
          <w:p w:rsidR="00F90344" w:rsidRDefault="00F90344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weiß, was eine Raute und was ein Trapez ist.</w:t>
            </w: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F90344" w:rsidRDefault="00F90344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DC03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kenne das Schema für einen Beweis.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DC03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zwischen Voraussetzung und Behauptung unterscheiden und kann diese in konkreten Beispielen richtig zuordnen.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DC036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einfache Beweise durchführen.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Ich kenne den Unterschied zwischen Umkehraussage und </w:t>
            </w:r>
            <w:proofErr w:type="spellStart"/>
            <w:r>
              <w:rPr>
                <w:rFonts w:ascii="Calibri" w:hAnsi="Calibri"/>
                <w:color w:val="000000"/>
              </w:rPr>
              <w:t>Kehrsatz</w:t>
            </w:r>
            <w:proofErr w:type="spellEnd"/>
            <w:r>
              <w:rPr>
                <w:rFonts w:ascii="Calibri" w:hAnsi="Calibri"/>
                <w:color w:val="000000"/>
              </w:rPr>
              <w:t>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weiß, wann zwei Aussagen äquivalent genannt werden.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Aussagen in die "wenn-dann"-Form übersetzen.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4011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die Umkehraussage bilden.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  <w:tr w:rsidR="00C33EDE" w:rsidTr="00C33EDE">
        <w:tc>
          <w:tcPr>
            <w:tcW w:w="8031" w:type="dxa"/>
          </w:tcPr>
          <w:p w:rsidR="00C33EDE" w:rsidRDefault="00C33EDE" w:rsidP="00C33ED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Ich kann Aussagen ansehen und</w:t>
            </w:r>
            <w:r w:rsidR="001B7B96">
              <w:rPr>
                <w:rFonts w:ascii="Calibri" w:hAnsi="Calibri"/>
                <w:color w:val="000000"/>
              </w:rPr>
              <w:t xml:space="preserve"> mit ihrer Hilfe </w:t>
            </w:r>
            <w:r>
              <w:rPr>
                <w:rFonts w:ascii="Calibri" w:hAnsi="Calibri"/>
                <w:color w:val="000000"/>
              </w:rPr>
              <w:t xml:space="preserve"> begründen, ob sie eine Behauptung beweisen.</w:t>
            </w: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19" w:type="dxa"/>
          </w:tcPr>
          <w:p w:rsidR="00C33EDE" w:rsidRDefault="00C33EDE" w:rsidP="00401133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1036B5" w:rsidRDefault="001036B5" w:rsidP="00401133">
      <w:pPr>
        <w:spacing w:after="0" w:line="240" w:lineRule="auto"/>
        <w:rPr>
          <w:rFonts w:cs="Arial"/>
          <w:sz w:val="24"/>
          <w:szCs w:val="24"/>
        </w:rPr>
      </w:pPr>
    </w:p>
    <w:sectPr w:rsidR="001036B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167" w:rsidRDefault="001C2167" w:rsidP="00401133">
      <w:pPr>
        <w:spacing w:after="0" w:line="240" w:lineRule="auto"/>
      </w:pPr>
      <w:r>
        <w:separator/>
      </w:r>
    </w:p>
  </w:endnote>
  <w:endnote w:type="continuationSeparator" w:id="0">
    <w:p w:rsidR="001C2167" w:rsidRDefault="001C2167" w:rsidP="00401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D5" w:rsidRPr="006539C5" w:rsidRDefault="003D09D5" w:rsidP="003D09D5">
    <w:pPr>
      <w:pStyle w:val="Fuzeile"/>
      <w:jc w:val="center"/>
      <w:rPr>
        <w:sz w:val="20"/>
        <w:szCs w:val="20"/>
      </w:rPr>
    </w:pPr>
    <w:r w:rsidRPr="006539C5">
      <w:rPr>
        <w:sz w:val="20"/>
        <w:szCs w:val="20"/>
      </w:rPr>
      <w:t xml:space="preserve">- </w:t>
    </w:r>
    <w:sdt>
      <w:sdtPr>
        <w:rPr>
          <w:sz w:val="20"/>
          <w:szCs w:val="20"/>
        </w:rPr>
        <w:id w:val="-164636991"/>
        <w:docPartObj>
          <w:docPartGallery w:val="Page Numbers (Bottom of Page)"/>
          <w:docPartUnique/>
        </w:docPartObj>
      </w:sdtPr>
      <w:sdtContent>
        <w:r w:rsidRPr="006539C5">
          <w:rPr>
            <w:sz w:val="20"/>
            <w:szCs w:val="20"/>
          </w:rPr>
          <w:fldChar w:fldCharType="begin"/>
        </w:r>
        <w:r w:rsidRPr="006539C5">
          <w:rPr>
            <w:sz w:val="20"/>
            <w:szCs w:val="20"/>
          </w:rPr>
          <w:instrText>PAGE   \* MERGEFORMAT</w:instrText>
        </w:r>
        <w:r w:rsidRPr="006539C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6539C5">
          <w:rPr>
            <w:sz w:val="20"/>
            <w:szCs w:val="20"/>
          </w:rPr>
          <w:fldChar w:fldCharType="end"/>
        </w:r>
        <w:r w:rsidRPr="006539C5">
          <w:rPr>
            <w:sz w:val="20"/>
            <w:szCs w:val="20"/>
          </w:rPr>
          <w:t xml:space="preserve"> -</w:t>
        </w:r>
      </w:sdtContent>
    </w:sdt>
  </w:p>
  <w:p w:rsidR="003D09D5" w:rsidRPr="006539C5" w:rsidRDefault="003D09D5" w:rsidP="003D09D5">
    <w:pPr>
      <w:pStyle w:val="Fuzeile"/>
      <w:tabs>
        <w:tab w:val="clear" w:pos="4536"/>
        <w:tab w:val="clear" w:pos="9072"/>
        <w:tab w:val="left" w:pos="5696"/>
      </w:tabs>
      <w:rPr>
        <w:sz w:val="20"/>
        <w:szCs w:val="20"/>
      </w:rPr>
    </w:pPr>
    <w:r w:rsidRPr="006539C5">
      <w:rPr>
        <w:sz w:val="20"/>
        <w:szCs w:val="20"/>
      </w:rPr>
      <w:tab/>
    </w:r>
  </w:p>
  <w:p w:rsidR="00401133" w:rsidRPr="003D09D5" w:rsidRDefault="00401133" w:rsidP="003D09D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167" w:rsidRDefault="001C2167" w:rsidP="00401133">
      <w:pPr>
        <w:spacing w:after="0" w:line="240" w:lineRule="auto"/>
      </w:pPr>
      <w:r>
        <w:separator/>
      </w:r>
    </w:p>
  </w:footnote>
  <w:footnote w:type="continuationSeparator" w:id="0">
    <w:p w:rsidR="001C2167" w:rsidRDefault="001C2167" w:rsidP="00401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D5" w:rsidRPr="00294AF0" w:rsidRDefault="003D09D5" w:rsidP="003D09D5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w:drawing>
        <wp:anchor distT="0" distB="0" distL="114300" distR="114300" simplePos="0" relativeHeight="251659264" behindDoc="1" locked="0" layoutInCell="1" allowOverlap="1" wp14:anchorId="3591AD24" wp14:editId="30AC131F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AF0">
      <w:rPr>
        <w:sz w:val="20"/>
        <w:szCs w:val="20"/>
      </w:rPr>
      <w:t>2014/15</w:t>
    </w:r>
    <w:r w:rsidRPr="00294AF0">
      <w:rPr>
        <w:sz w:val="20"/>
        <w:szCs w:val="20"/>
      </w:rPr>
      <w:tab/>
    </w:r>
    <w:r w:rsidRPr="00294AF0">
      <w:rPr>
        <w:b/>
        <w:sz w:val="20"/>
        <w:szCs w:val="20"/>
      </w:rPr>
      <w:t>Grundfertigkeiten</w:t>
    </w:r>
    <w:r w:rsidRPr="00294AF0">
      <w:rPr>
        <w:sz w:val="20"/>
        <w:szCs w:val="20"/>
      </w:rPr>
      <w:tab/>
    </w:r>
  </w:p>
  <w:p w:rsidR="003D09D5" w:rsidRPr="00294AF0" w:rsidRDefault="003D09D5" w:rsidP="003D09D5">
    <w:pPr>
      <w:pStyle w:val="Kopfzeile"/>
      <w:rPr>
        <w:sz w:val="20"/>
        <w:szCs w:val="20"/>
      </w:rPr>
    </w:pPr>
    <w:r w:rsidRPr="00294AF0">
      <w:rPr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666C52" wp14:editId="78565A61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  <w:p w:rsidR="00401133" w:rsidRPr="003D09D5" w:rsidRDefault="00401133" w:rsidP="003D09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33"/>
    <w:rsid w:val="001036B5"/>
    <w:rsid w:val="001B7B96"/>
    <w:rsid w:val="001C2167"/>
    <w:rsid w:val="002A7A14"/>
    <w:rsid w:val="003D09D5"/>
    <w:rsid w:val="00401133"/>
    <w:rsid w:val="005369EC"/>
    <w:rsid w:val="006C6271"/>
    <w:rsid w:val="00C33EDE"/>
    <w:rsid w:val="00CA601E"/>
    <w:rsid w:val="00F9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1133"/>
  </w:style>
  <w:style w:type="paragraph" w:styleId="Fuzeile">
    <w:name w:val="footer"/>
    <w:basedOn w:val="Standard"/>
    <w:link w:val="FuzeileZchn"/>
    <w:uiPriority w:val="99"/>
    <w:unhideWhenUsed/>
    <w:rsid w:val="004011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113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13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36B5"/>
    <w:pPr>
      <w:ind w:left="720"/>
      <w:contextualSpacing/>
    </w:pPr>
  </w:style>
  <w:style w:type="table" w:styleId="Tabellenraster">
    <w:name w:val="Table Grid"/>
    <w:basedOn w:val="NormaleTabelle"/>
    <w:uiPriority w:val="59"/>
    <w:rsid w:val="001036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9C5A8-1545-4D75-B818-8BD7494A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silke.goettge</dc:creator>
  <cp:lastModifiedBy>Moni</cp:lastModifiedBy>
  <cp:revision>2</cp:revision>
  <dcterms:created xsi:type="dcterms:W3CDTF">2013-12-12T15:22:00Z</dcterms:created>
  <dcterms:modified xsi:type="dcterms:W3CDTF">2013-12-12T15:22:00Z</dcterms:modified>
</cp:coreProperties>
</file>