
<file path=[Content_Types].xml><?xml version="1.0" encoding="utf-8"?>
<Types xmlns="http://schemas.openxmlformats.org/package/2006/content-types">
  <Override PartName="/_rels/.rels" ContentType="application/vnd.openxmlformats-package.relationships+xml"/>
  <Override PartName="/customXml/_rels/item1.xml.rels" ContentType="application/vnd.openxmlformats-package.relationships+xml"/>
  <Override PartName="/customXml/itemProps1.xml" ContentType="application/vnd.openxmlformats-officedocument.customXmlProperties+xml"/>
  <Override PartName="/customXml/item1.xml" ContentType="application/xml"/>
  <Override PartName="/word/_rels/document.xml.rels" ContentType="application/vnd.openxmlformats-package.relationships+xml"/>
  <Override PartName="/word/settings.xml" ContentType="application/vnd.openxmlformats-officedocument.wordprocessingml.settings+xml"/>
  <Override PartName="/word/fontTable.xml" ContentType="application/vnd.openxmlformats-officedocument.wordprocessingml.fontTable+xml"/>
  <Override PartName="/word/media/image1.wmf" ContentType="image/x-wmf"/>
  <Override PartName="/word/numbering.xml" ContentType="application/vnd.openxmlformats-officedocument.wordprocessingml.numbering+xml"/>
  <Override PartName="/word/styles.xml" ContentType="application/vnd.openxmlformats-officedocument.wordprocessingml.styles+xml"/>
  <Override PartName="/word/theme/theme1.xml" ContentType="application/vnd.openxmlformats-officedocument.theme+xml"/>
  <Override PartName="/word/document.xml" ContentType="application/vnd.openxmlformats-officedocument.wordprocessingml.document.main+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Normal"/>
        <w:rPr>
          <w:rFonts w:ascii="Calibri" w:hAnsi="Calibri"/>
          <w:sz w:val="22"/>
          <w:szCs w:val="22"/>
        </w:rPr>
      </w:pPr>
      <w:r>
        <w:rPr>
          <w:rFonts w:ascii="Calibri" w:hAnsi="Calibri"/>
          <w:sz w:val="22"/>
          <w:szCs w:val="22"/>
        </w:rPr>
        <w:t>Jesus Christus II (Kursstufe)</w:t>
      </w:r>
    </w:p>
    <w:p>
      <w:pPr>
        <w:pStyle w:val="Normal"/>
        <w:rPr>
          <w:rFonts w:ascii="Calibri" w:hAnsi="Calibri"/>
          <w:sz w:val="22"/>
          <w:szCs w:val="22"/>
        </w:rPr>
      </w:pPr>
      <w:r>
        <w:rPr>
          <w:rFonts w:ascii="Calibri" w:hAnsi="Calibri"/>
          <w:sz w:val="22"/>
          <w:szCs w:val="22"/>
        </w:rPr>
        <w:t>Arbeitsaufträge:</w:t>
      </w:r>
    </w:p>
    <w:p>
      <w:pPr>
        <w:pStyle w:val="ListParagraph"/>
        <w:numPr>
          <w:ilvl w:val="0"/>
          <w:numId w:val="12"/>
        </w:numPr>
        <w:rPr>
          <w:rFonts w:ascii="Calibri" w:hAnsi="Calibri"/>
          <w:sz w:val="22"/>
          <w:szCs w:val="22"/>
        </w:rPr>
      </w:pPr>
      <w:r>
        <w:rPr>
          <w:rFonts w:ascii="Calibri" w:hAnsi="Calibri"/>
          <w:sz w:val="22"/>
          <w:szCs w:val="22"/>
        </w:rPr>
        <w:t xml:space="preserve">M1 Kreuze </w:t>
      </w:r>
      <w:r>
        <w:rPr>
          <w:rFonts w:ascii="Calibri" w:hAnsi="Calibri"/>
          <w:b/>
          <w:sz w:val="22"/>
          <w:szCs w:val="22"/>
        </w:rPr>
        <w:t>nur ausgehend vom Text zwei</w:t>
      </w:r>
      <w:r>
        <w:rPr>
          <w:rFonts w:ascii="Calibri" w:hAnsi="Calibri"/>
          <w:sz w:val="22"/>
          <w:szCs w:val="22"/>
        </w:rPr>
        <w:t xml:space="preserve"> zutreffenden Aussagen an und ordne ihnen Textzitate zu!  08 P.</w:t>
      </w:r>
    </w:p>
    <w:p>
      <w:pPr>
        <w:pStyle w:val="ListParagraph"/>
        <w:numPr>
          <w:ilvl w:val="0"/>
          <w:numId w:val="12"/>
        </w:numPr>
        <w:rPr>
          <w:rFonts w:ascii="Calibri" w:hAnsi="Calibri"/>
          <w:sz w:val="22"/>
          <w:szCs w:val="22"/>
        </w:rPr>
      </w:pPr>
      <w:r>
        <w:rPr>
          <w:rFonts w:ascii="Calibri" w:hAnsi="Calibri"/>
          <w:sz w:val="22"/>
          <w:szCs w:val="22"/>
        </w:rPr>
        <w:t>Stelle dar, inwieweit die römischen Besatzer, die Jerusalemer Lokalaristokratie und das anwesende Volk aus der Perspektive des Mtev und Lkev Schuld am Tod Jesu hatten. 08 P.</w:t>
      </w:r>
    </w:p>
    <w:p>
      <w:pPr>
        <w:pStyle w:val="ListParagraph"/>
        <w:numPr>
          <w:ilvl w:val="0"/>
          <w:numId w:val="12"/>
        </w:numPr>
        <w:rPr>
          <w:rFonts w:ascii="Calibri" w:hAnsi="Calibri"/>
          <w:sz w:val="22"/>
          <w:szCs w:val="22"/>
        </w:rPr>
      </w:pPr>
      <w:r>
        <w:rPr>
          <w:rFonts w:ascii="Calibri" w:hAnsi="Calibri"/>
          <w:sz w:val="22"/>
          <w:szCs w:val="22"/>
        </w:rPr>
        <w:t>M2 Beschreibe das Plakat! 08 P.</w:t>
      </w:r>
    </w:p>
    <w:p>
      <w:pPr>
        <w:pStyle w:val="ListParagraph"/>
        <w:numPr>
          <w:ilvl w:val="0"/>
          <w:numId w:val="12"/>
        </w:numPr>
        <w:rPr>
          <w:rFonts w:ascii="Calibri" w:hAnsi="Calibri"/>
          <w:sz w:val="22"/>
          <w:szCs w:val="22"/>
        </w:rPr>
      </w:pPr>
      <w:r>
        <w:rPr>
          <w:rFonts w:ascii="Calibri" w:hAnsi="Calibri"/>
          <w:sz w:val="22"/>
          <w:szCs w:val="22"/>
        </w:rPr>
        <w:t>M2 Setze dich in Form einer theologischen Argumentation mit dem Plakat auseinander. (erst bei Punkt 4 der theologischen Argumentation die Antwort verfassen).  15 P</w:t>
      </w:r>
    </w:p>
    <w:p>
      <w:pPr>
        <w:pStyle w:val="ListParagraph"/>
        <w:rPr>
          <w:sz w:val="28"/>
          <w:szCs w:val="28"/>
        </w:rPr>
      </w:pPr>
      <w:r>
        <w:rPr>
          <w:rFonts w:ascii="Calibri" w:hAnsi="Calibri"/>
          <w:sz w:val="22"/>
          <w:szCs w:val="22"/>
        </w:rPr>
        <w:t xml:space="preserve"> </w:t>
      </w:r>
      <w:r>
        <w:rPr>
          <w:rFonts w:ascii="Calibri" w:hAnsi="Calibri"/>
          <w:sz w:val="22"/>
          <w:szCs w:val="22"/>
        </w:rPr>
        <w:t>Dieses Plakat stammt aus dem Bundestagswahlkampf 2012 der Partei Bibeltreue Christen. Stell dir vor, du gehst mit einem Freund an diesem Plakat vorbei. Er sagt zu dir: „Das ist genau das, was ich gerade gesagt habe. Immer spielen sich die Christen als moralische Besserwisser auf und jetzt wollen sie uns auch noch politisch bevormunden.“ Dich ärgert sein pauschales Urteil und du gibst ihm eine Antwort.</w:t>
      </w:r>
      <w:r>
        <w:rPr>
          <w:sz w:val="28"/>
          <w:szCs w:val="28"/>
        </w:rPr>
        <w:tab/>
        <w:tab/>
      </w:r>
    </w:p>
    <w:p>
      <w:pPr>
        <w:pStyle w:val="Normal"/>
        <w:rPr/>
      </w:pPr>
      <w:r>
        <w:rPr/>
      </w:r>
    </w:p>
    <w:p>
      <w:pPr>
        <w:pStyle w:val="ListParagraph"/>
        <w:pageBreakBefore/>
        <w:rPr/>
      </w:pPr>
      <w:r>
        <w:rPr/>
        <w:tab/>
      </w:r>
    </w:p>
    <w:p>
      <w:pPr>
        <w:pStyle w:val="Normal"/>
        <w:rPr>
          <w:rFonts w:ascii="Calibri" w:hAnsi="Calibri"/>
          <w:sz w:val="22"/>
          <w:szCs w:val="22"/>
        </w:rPr>
      </w:pPr>
      <w:r>
        <w:rPr>
          <w:rFonts w:ascii="Calibri" w:hAnsi="Calibri"/>
          <w:sz w:val="22"/>
          <w:szCs w:val="22"/>
        </w:rPr>
        <w:t>M1</w:t>
      </w:r>
    </w:p>
    <w:p>
      <w:pPr>
        <w:sectPr>
          <w:type w:val="nextPage"/>
          <w:pgSz w:w="11906" w:h="16838"/>
          <w:pgMar w:left="1417" w:right="1417" w:header="0" w:top="1417" w:footer="0" w:bottom="1134" w:gutter="0"/>
          <w:pgNumType w:fmt="decimal"/>
          <w:formProt w:val="false"/>
          <w:textDirection w:val="lrTb"/>
          <w:docGrid w:type="default" w:linePitch="360" w:charSpace="4294961151"/>
        </w:sectPr>
      </w:pPr>
    </w:p>
    <w:p>
      <w:pPr>
        <w:pStyle w:val="Normal"/>
        <w:rPr>
          <w:rFonts w:ascii="Calibri" w:hAnsi="Calibri"/>
          <w:sz w:val="22"/>
          <w:szCs w:val="22"/>
        </w:rPr>
      </w:pPr>
      <w:r>
        <w:rPr>
          <w:rFonts w:ascii="Calibri" w:hAnsi="Calibri"/>
          <w:sz w:val="22"/>
          <w:szCs w:val="22"/>
        </w:rPr>
        <w:t>Jesu Tod ist weder ein göttlicher Einfall noch nur ein menschlicher Zufall gewesen, sondern die logische Konsequenz seines Lebens.</w:t>
      </w:r>
    </w:p>
    <w:p>
      <w:pPr>
        <w:pStyle w:val="Normal"/>
        <w:rPr>
          <w:rFonts w:ascii="Calibri" w:hAnsi="Calibri"/>
          <w:sz w:val="22"/>
          <w:szCs w:val="22"/>
        </w:rPr>
      </w:pPr>
      <w:r>
        <w:rPr>
          <w:rFonts w:ascii="Calibri" w:hAnsi="Calibri"/>
          <w:sz w:val="22"/>
          <w:szCs w:val="22"/>
        </w:rPr>
        <w:t xml:space="preserve">Nicht Gott hat Jesus ans Kreuz gebracht – das haben Menschen getan. Wer behauptet, dass Jesu Tod auf Grund einer innertrinitarischen Verabredung zustande gekommen, mithin von Ewigkeit her beschlossen sei, muss die Konsequenzen in Kauf nehmen, dass Gott die Juden hat bewusst ins Unheil laufen lassen. Solche Gotteslästerung kommt heraus, wenn man die Heilsgeschichte „übergeschichtlich“ versteht und sie so zu einem toten Geschiebe macht. </w:t>
      </w:r>
    </w:p>
    <w:p>
      <w:pPr>
        <w:pStyle w:val="Normal"/>
        <w:rPr>
          <w:rFonts w:ascii="Calibri" w:hAnsi="Calibri"/>
          <w:sz w:val="22"/>
          <w:szCs w:val="22"/>
        </w:rPr>
      </w:pPr>
      <w:r>
        <w:rPr>
          <w:rFonts w:ascii="Calibri" w:hAnsi="Calibri"/>
          <w:sz w:val="22"/>
          <w:szCs w:val="22"/>
        </w:rPr>
        <w:t>Andererseits ist Jesu Tod auch kein reiner Zufall gewesen. War er auch nicht von Ewigkeit her vorgesehen, so war er doch von Anfang an abzusehen. Schließlich ist  Jesus gekreuzigt worden und nicht im See Genezareth beim Fischen ertrunken. Die Art seines Sterbens weist auf sein Leben zurück. Sein Glaube war es, der ihm seine „Freiheit zum Wort“ gab, und seine Freiheit zum Wort war die Ursache seines Todes.</w:t>
      </w:r>
    </w:p>
    <w:p>
      <w:pPr>
        <w:pStyle w:val="Normal"/>
        <w:rPr>
          <w:rFonts w:ascii="Calibri" w:hAnsi="Calibri"/>
          <w:sz w:val="22"/>
          <w:szCs w:val="22"/>
        </w:rPr>
      </w:pPr>
      <w:r>
        <w:rPr>
          <w:rFonts w:ascii="Calibri" w:hAnsi="Calibri"/>
          <w:sz w:val="22"/>
          <w:szCs w:val="22"/>
        </w:rPr>
        <w:t xml:space="preserve">Wer so redet und handelt wie Jesus, ist für jedes religiöse und politische Establishment gleichermaßen ein Sicherheitsrisiko. Und so wird der Unruhestifter ausgeschaltet. Gewiss war die Kreuzigung Jesu ein Akt religiös-politischer Justiz – aber war es ein Fehlurteil? Was sich auf Golgatha ereignet hat, war ebenso viel oder wenig ein „Justizmord“ wie andere derartige Hinrichtungen in der blutigen Geschichte der Ideologien und Religionen. Auch in den Augen der christlichen Obrigkeiten galten Ketzer meistens zugleich als politische Aufrührer und die Zusammenarbeit zwischen dem „geistlichen“ und dem „weltlichen“ Amt hat hier gleichfalls reibungslos funktioniert. </w:t>
      </w:r>
    </w:p>
    <w:p>
      <w:pPr>
        <w:pStyle w:val="Normal"/>
        <w:rPr>
          <w:rFonts w:ascii="Calibri" w:hAnsi="Calibri"/>
          <w:sz w:val="22"/>
          <w:szCs w:val="22"/>
        </w:rPr>
      </w:pPr>
      <w:r>
        <w:rPr>
          <w:rFonts w:ascii="Calibri" w:hAnsi="Calibri"/>
          <w:sz w:val="22"/>
          <w:szCs w:val="22"/>
        </w:rPr>
        <w:t>Heinz Zahrnt, Mutmaßungen über Gott, Piper Verlag, München 1994, 84 f.; 86 f.</w:t>
      </w:r>
    </w:p>
    <w:p>
      <w:pPr>
        <w:pStyle w:val="Normal"/>
        <w:rPr/>
      </w:pPr>
      <w:r>
        <w:rPr/>
      </w:r>
    </w:p>
    <w:p>
      <w:pPr>
        <w:pStyle w:val="Normal"/>
        <w:pageBreakBefore/>
        <w:rPr/>
      </w:pPr>
      <w:r>
        <w:rPr/>
      </w:r>
      <w:r>
        <w:pict>
          <v:rect fillcolor="#FFFFFF" strokecolor="#000000" strokeweight="0pt" style="position:absolute;width:459.25pt;height:434.95pt;mso-wrap-distance-left:9pt;mso-wrap-distance-right:9pt;mso-wrap-distance-top:0pt;mso-wrap-distance-bottom:0pt;margin-top:-17.65pt;margin-left:-4.15pt">
            <v:textbox>
              <w:txbxContent>
                <w:p>
                  <w:pPr>
                    <w:pStyle w:val="ListParagraph"/>
                    <w:numPr>
                      <w:ilvl w:val="0"/>
                      <w:numId w:val="2"/>
                    </w:numPr>
                    <w:rPr>
                      <w:rFonts w:ascii="Calibri" w:hAnsi="Calibri"/>
                      <w:sz w:val="22"/>
                      <w:szCs w:val="22"/>
                    </w:rPr>
                  </w:pPr>
                  <w:r>
                    <w:rPr>
                      <w:rFonts w:ascii="Calibri" w:hAnsi="Calibri"/>
                      <w:sz w:val="22"/>
                      <w:szCs w:val="22"/>
                    </w:rPr>
                    <w:t>Zu  M1</w:t>
                  </w:r>
                </w:p>
                <w:p>
                  <w:pPr>
                    <w:pStyle w:val="Rahmeninhalt"/>
                    <w:rPr>
                      <w:rFonts w:ascii="Calibri" w:hAnsi="Calibri"/>
                      <w:sz w:val="22"/>
                      <w:szCs w:val="22"/>
                    </w:rPr>
                  </w:pPr>
                  <w:r>
                    <w:rPr>
                      <w:rFonts w:ascii="Calibri" w:hAnsi="Calibri"/>
                      <w:sz w:val="22"/>
                      <w:szCs w:val="22"/>
                    </w:rPr>
                    <w:t xml:space="preserve">Bitte nur zwei mögliche Antworten ankreuzen und Textstellen zuordnen. Jede richtige Antwort wird mit je 4 Punkten bewertet, bei falschen Antworten werden 4 Punkte abgezogen bzw. bei Erreichen von 0 Punkten die ganze Aufgabe mit 0 Punkten bewertet. </w:t>
                  </w:r>
                </w:p>
                <w:tbl>
                  <w:tblPr>
                    <w:jc w:val="left"/>
                    <w:tblInd w:w="0" w:type="dxa"/>
                    <w:tblBorders>
                      <w:top w:val="single" w:sz="8" w:space="0" w:color="000001"/>
                      <w:left w:val="nil"/>
                      <w:bottom w:val="single" w:sz="8" w:space="0" w:color="000001"/>
                      <w:insideH w:val="single" w:sz="8" w:space="0" w:color="000001"/>
                      <w:right w:val="nil"/>
                      <w:insideV w:val="nil"/>
                    </w:tblBorders>
                    <w:tblCellMar>
                      <w:top w:w="0" w:type="dxa"/>
                      <w:left w:w="108" w:type="dxa"/>
                      <w:bottom w:w="0" w:type="dxa"/>
                      <w:right w:w="108" w:type="dxa"/>
                    </w:tblCellMar>
                  </w:tblPr>
                  <w:tblGrid>
                    <w:gridCol w:w="4570"/>
                    <w:gridCol w:w="4564"/>
                  </w:tblGrid>
                  <w:tr>
                    <w:trPr>
                      <w:trHeight w:val="7483" w:hRule="atLeast"/>
                      <w:cantSplit w:val="true"/>
                    </w:trPr>
                    <w:tc>
                      <w:tcPr>
                        <w:tcW w:w="4570" w:type="dxa"/>
                        <w:tcBorders>
                          <w:top w:val="single" w:sz="8" w:space="0" w:color="000001"/>
                          <w:left w:val="nil"/>
                          <w:bottom w:val="single" w:sz="8" w:space="0" w:color="000001"/>
                          <w:insideH w:val="single" w:sz="8" w:space="0" w:color="000001"/>
                          <w:right w:val="nil"/>
                          <w:insideV w:val="nil"/>
                        </w:tcBorders>
                        <w:shd w:fill="FFFFFF" w:val="clear"/>
                      </w:tcPr>
                      <w:p>
                        <w:pPr>
                          <w:pStyle w:val="ListParagraph"/>
                          <w:numPr>
                            <w:ilvl w:val="0"/>
                            <w:numId w:val="1"/>
                          </w:numPr>
                          <w:spacing w:before="0" w:after="0"/>
                          <w:rPr>
                            <w:rFonts w:ascii="Calibri" w:hAnsi="Calibri"/>
                            <w:b/>
                            <w:bCs/>
                            <w:color w:val="000000"/>
                            <w:sz w:val="22"/>
                            <w:szCs w:val="22"/>
                          </w:rPr>
                        </w:pPr>
                        <w:r>
                          <w:rPr>
                            <w:rFonts w:ascii="Calibri" w:hAnsi="Calibri"/>
                            <w:b/>
                            <w:bCs/>
                            <w:color w:val="000000"/>
                            <w:sz w:val="22"/>
                            <w:szCs w:val="22"/>
                          </w:rPr>
                          <w:t>Gott hat die Verurteilung Jesu zum Kreuzestod hingenommen,  um den Mensch in seiner Freiheit nicht einzuschränken.</w:t>
                        </w:r>
                      </w:p>
                      <w:p>
                        <w:pPr>
                          <w:pStyle w:val="ListParagraph"/>
                          <w:numPr>
                            <w:ilvl w:val="0"/>
                            <w:numId w:val="1"/>
                          </w:numPr>
                          <w:spacing w:before="0" w:after="0"/>
                          <w:rPr>
                            <w:rFonts w:ascii="Calibri" w:hAnsi="Calibri"/>
                            <w:b/>
                            <w:bCs/>
                            <w:color w:val="000000"/>
                            <w:sz w:val="22"/>
                            <w:szCs w:val="22"/>
                          </w:rPr>
                        </w:pPr>
                        <w:r>
                          <w:rPr>
                            <w:rFonts w:ascii="Calibri" w:hAnsi="Calibri"/>
                            <w:b/>
                            <w:bCs/>
                            <w:color w:val="000000"/>
                            <w:sz w:val="22"/>
                            <w:szCs w:val="22"/>
                          </w:rPr>
                          <w:t>Durch die Frohe Botschaft, die Jesus verkündete, ist er zwangsläufig zum potentiellen Opfer der Machthaber geworden.</w:t>
                        </w:r>
                      </w:p>
                      <w:p>
                        <w:pPr>
                          <w:pStyle w:val="ListParagraph"/>
                          <w:numPr>
                            <w:ilvl w:val="0"/>
                            <w:numId w:val="1"/>
                          </w:numPr>
                          <w:spacing w:before="0" w:after="0"/>
                          <w:rPr>
                            <w:rFonts w:ascii="Calibri" w:hAnsi="Calibri"/>
                            <w:b/>
                            <w:bCs/>
                            <w:color w:val="000000"/>
                            <w:sz w:val="22"/>
                            <w:szCs w:val="22"/>
                          </w:rPr>
                        </w:pPr>
                        <w:r>
                          <w:rPr>
                            <w:rFonts w:ascii="Calibri" w:hAnsi="Calibri"/>
                            <w:b/>
                            <w:bCs/>
                            <w:color w:val="000000"/>
                            <w:sz w:val="22"/>
                            <w:szCs w:val="22"/>
                          </w:rPr>
                          <w:t xml:space="preserve"> </w:t>
                        </w:r>
                        <w:r>
                          <w:rPr>
                            <w:rFonts w:ascii="Calibri" w:hAnsi="Calibri"/>
                            <w:b/>
                            <w:bCs/>
                            <w:color w:val="000000"/>
                            <w:sz w:val="22"/>
                            <w:szCs w:val="22"/>
                          </w:rPr>
                          <w:t>Menschen, die in einer Umgebung von Zwang und Gewalt ihre Meinung bekennen, sind selbst an ihrer Verfolgung schuld.</w:t>
                        </w:r>
                      </w:p>
                      <w:p>
                        <w:pPr>
                          <w:pStyle w:val="ListParagraph"/>
                          <w:numPr>
                            <w:ilvl w:val="0"/>
                            <w:numId w:val="1"/>
                          </w:numPr>
                          <w:spacing w:before="0" w:after="0"/>
                          <w:rPr>
                            <w:rFonts w:ascii="Calibri" w:hAnsi="Calibri"/>
                            <w:b/>
                            <w:bCs/>
                            <w:color w:val="000000"/>
                            <w:sz w:val="22"/>
                            <w:szCs w:val="22"/>
                          </w:rPr>
                        </w:pPr>
                        <w:r>
                          <w:rPr>
                            <w:rFonts w:ascii="Calibri" w:hAnsi="Calibri"/>
                            <w:b/>
                            <w:bCs/>
                            <w:color w:val="000000"/>
                            <w:sz w:val="22"/>
                            <w:szCs w:val="22"/>
                          </w:rPr>
                          <w:t>Das über Jesus verhängte Urteil entspricht den allgemeinen Gepflogenheiten unfreier Gesellschaften und stellt keinen Sonderfall dar.</w:t>
                        </w:r>
                      </w:p>
                      <w:p>
                        <w:pPr>
                          <w:pStyle w:val="ListParagraph"/>
                          <w:numPr>
                            <w:ilvl w:val="0"/>
                            <w:numId w:val="1"/>
                          </w:numPr>
                          <w:spacing w:before="0" w:after="0"/>
                          <w:rPr>
                            <w:rFonts w:ascii="Calibri" w:hAnsi="Calibri"/>
                            <w:b/>
                            <w:bCs/>
                            <w:color w:val="000000"/>
                            <w:sz w:val="22"/>
                            <w:szCs w:val="22"/>
                          </w:rPr>
                        </w:pPr>
                        <w:r>
                          <w:rPr>
                            <w:rFonts w:ascii="Calibri" w:hAnsi="Calibri"/>
                            <w:b/>
                            <w:bCs/>
                            <w:color w:val="000000"/>
                            <w:sz w:val="22"/>
                            <w:szCs w:val="22"/>
                          </w:rPr>
                          <w:t>Wäre Jesus infolge eines Unfalls gestorben, müsste man Konsequenzen für die Beurteilung seines Todes bzw. seiner Verkündigung  ziehen.</w:t>
                        </w:r>
                      </w:p>
                      <w:p>
                        <w:pPr>
                          <w:pStyle w:val="Rahmeninhalt"/>
                          <w:spacing w:before="0" w:after="0"/>
                          <w:rPr>
                            <w:rFonts w:ascii="Calibri" w:hAnsi="Calibri"/>
                            <w:b/>
                            <w:bCs/>
                            <w:color w:val="000000"/>
                            <w:sz w:val="22"/>
                            <w:szCs w:val="22"/>
                          </w:rPr>
                        </w:pPr>
                        <w:r>
                          <w:rPr>
                            <w:rFonts w:ascii="Calibri" w:hAnsi="Calibri"/>
                            <w:b/>
                            <w:bCs/>
                            <w:color w:val="000000"/>
                            <w:sz w:val="22"/>
                            <w:szCs w:val="22"/>
                          </w:rPr>
                        </w:r>
                      </w:p>
                    </w:tc>
                    <w:tc>
                      <w:tcPr>
                        <w:tcW w:w="4564" w:type="dxa"/>
                        <w:tcBorders>
                          <w:top w:val="single" w:sz="8" w:space="0" w:color="000001"/>
                          <w:left w:val="nil"/>
                          <w:bottom w:val="single" w:sz="8" w:space="0" w:color="000001"/>
                          <w:insideH w:val="single" w:sz="8" w:space="0" w:color="000001"/>
                          <w:right w:val="nil"/>
                          <w:insideV w:val="nil"/>
                        </w:tcBorders>
                        <w:shd w:fill="FFFFFF" w:val="clear"/>
                      </w:tcPr>
                      <w:p>
                        <w:pPr>
                          <w:pStyle w:val="Rahmeninhalt"/>
                          <w:tabs>
                            <w:tab w:val="left" w:pos="1244" w:leader="none"/>
                          </w:tabs>
                          <w:spacing w:before="0" w:after="0"/>
                          <w:rPr>
                            <w:rFonts w:ascii="Calibri" w:hAnsi="Calibri"/>
                            <w:b/>
                            <w:bCs/>
                            <w:color w:val="000000"/>
                            <w:sz w:val="22"/>
                            <w:szCs w:val="22"/>
                          </w:rPr>
                        </w:pPr>
                        <w:r>
                          <w:rPr>
                            <w:rFonts w:ascii="Calibri" w:hAnsi="Calibri"/>
                            <w:b/>
                            <w:bCs/>
                            <w:color w:val="000000"/>
                            <w:sz w:val="22"/>
                            <w:szCs w:val="22"/>
                          </w:rPr>
                          <w:t xml:space="preserve">                         </w:t>
                        </w:r>
                        <w:r>
                          <w:rPr>
                            <w:rFonts w:ascii="Calibri" w:hAnsi="Calibri"/>
                            <w:b/>
                            <w:bCs/>
                            <w:color w:val="000000"/>
                            <w:sz w:val="22"/>
                            <w:szCs w:val="22"/>
                          </w:rPr>
                          <w:t>ja / nein</w:t>
                        </w:r>
                      </w:p>
                      <w:p>
                        <w:pPr>
                          <w:pStyle w:val="Rahmeninhalt"/>
                          <w:spacing w:before="0" w:after="0"/>
                          <w:rPr>
                            <w:rFonts w:ascii="Calibri" w:hAnsi="Calibri"/>
                            <w:b/>
                            <w:bCs/>
                            <w:color w:val="000000"/>
                            <w:sz w:val="22"/>
                            <w:szCs w:val="22"/>
                          </w:rPr>
                        </w:pPr>
                        <w:r>
                          <w:rPr>
                            <w:rFonts w:ascii="Calibri" w:hAnsi="Calibri"/>
                            <w:b/>
                            <w:bCs/>
                            <w:color w:val="000000"/>
                            <w:sz w:val="22"/>
                            <w:szCs w:val="22"/>
                          </w:rPr>
                        </w:r>
                      </w:p>
                      <w:p>
                        <w:pPr>
                          <w:pStyle w:val="Rahmeninhalt"/>
                          <w:spacing w:before="0" w:after="0"/>
                          <w:rPr>
                            <w:rFonts w:ascii="Calibri" w:hAnsi="Calibri"/>
                            <w:b/>
                            <w:bCs/>
                            <w:color w:val="000000"/>
                            <w:sz w:val="22"/>
                            <w:szCs w:val="22"/>
                          </w:rPr>
                        </w:pPr>
                        <w:r>
                          <w:rPr>
                            <w:rFonts w:ascii="Calibri" w:hAnsi="Calibri"/>
                            <w:b/>
                            <w:bCs/>
                            <w:color w:val="000000"/>
                            <w:sz w:val="22"/>
                            <w:szCs w:val="22"/>
                          </w:rPr>
                        </w:r>
                      </w:p>
                      <w:p>
                        <w:pPr>
                          <w:pStyle w:val="Rahmeninhalt"/>
                          <w:spacing w:before="0" w:after="0"/>
                          <w:rPr>
                            <w:rFonts w:ascii="Calibri" w:hAnsi="Calibri"/>
                            <w:b/>
                            <w:bCs/>
                            <w:color w:val="000000"/>
                            <w:sz w:val="22"/>
                            <w:szCs w:val="22"/>
                          </w:rPr>
                        </w:pPr>
                        <w:r>
                          <w:rPr>
                            <w:rFonts w:ascii="Calibri" w:hAnsi="Calibri"/>
                            <w:b/>
                            <w:bCs/>
                            <w:color w:val="000000"/>
                            <w:sz w:val="22"/>
                            <w:szCs w:val="22"/>
                          </w:rPr>
                        </w:r>
                      </w:p>
                      <w:p>
                        <w:pPr>
                          <w:pStyle w:val="Rahmeninhalt"/>
                          <w:spacing w:before="0" w:after="0"/>
                          <w:rPr>
                            <w:rFonts w:ascii="Calibri" w:hAnsi="Calibri"/>
                            <w:b/>
                            <w:bCs/>
                            <w:color w:val="000000"/>
                            <w:sz w:val="22"/>
                            <w:szCs w:val="22"/>
                          </w:rPr>
                        </w:pPr>
                        <w:r>
                          <w:rPr>
                            <w:rFonts w:ascii="Calibri" w:hAnsi="Calibri"/>
                            <w:b/>
                            <w:bCs/>
                            <w:color w:val="000000"/>
                            <w:sz w:val="22"/>
                            <w:szCs w:val="22"/>
                          </w:rPr>
                          <w:t xml:space="preserve">                            </w:t>
                        </w:r>
                      </w:p>
                      <w:p>
                        <w:pPr>
                          <w:pStyle w:val="Rahmeninhalt"/>
                          <w:tabs>
                            <w:tab w:val="left" w:pos="1244" w:leader="none"/>
                          </w:tabs>
                          <w:spacing w:before="0" w:after="0"/>
                          <w:rPr>
                            <w:rFonts w:ascii="Calibri" w:hAnsi="Calibri"/>
                            <w:b/>
                            <w:bCs/>
                            <w:color w:val="000000"/>
                            <w:sz w:val="22"/>
                            <w:szCs w:val="22"/>
                          </w:rPr>
                        </w:pPr>
                        <w:r>
                          <w:rPr>
                            <w:rFonts w:ascii="Calibri" w:hAnsi="Calibri"/>
                            <w:b/>
                            <w:bCs/>
                            <w:color w:val="000000"/>
                            <w:sz w:val="22"/>
                            <w:szCs w:val="22"/>
                          </w:rPr>
                          <w:t xml:space="preserve">                         </w:t>
                        </w:r>
                        <w:r>
                          <w:rPr>
                            <w:rFonts w:ascii="Calibri" w:hAnsi="Calibri"/>
                            <w:b/>
                            <w:bCs/>
                            <w:color w:val="000000"/>
                            <w:sz w:val="22"/>
                            <w:szCs w:val="22"/>
                          </w:rPr>
                          <w:t>ja / nein</w:t>
                        </w:r>
                      </w:p>
                      <w:p>
                        <w:pPr>
                          <w:pStyle w:val="Rahmeninhalt"/>
                          <w:spacing w:before="0" w:after="0"/>
                          <w:rPr>
                            <w:rFonts w:ascii="Calibri" w:hAnsi="Calibri"/>
                            <w:b/>
                            <w:bCs/>
                            <w:color w:val="000000"/>
                            <w:sz w:val="22"/>
                            <w:szCs w:val="22"/>
                          </w:rPr>
                        </w:pPr>
                        <w:r>
                          <w:rPr>
                            <w:rFonts w:ascii="Calibri" w:hAnsi="Calibri"/>
                            <w:b/>
                            <w:bCs/>
                            <w:color w:val="000000"/>
                            <w:sz w:val="22"/>
                            <w:szCs w:val="22"/>
                          </w:rPr>
                        </w:r>
                      </w:p>
                      <w:p>
                        <w:pPr>
                          <w:pStyle w:val="Rahmeninhalt"/>
                          <w:spacing w:before="0" w:after="0"/>
                          <w:rPr>
                            <w:rFonts w:ascii="Calibri" w:hAnsi="Calibri"/>
                            <w:b/>
                            <w:bCs/>
                            <w:color w:val="000000"/>
                            <w:sz w:val="22"/>
                            <w:szCs w:val="22"/>
                          </w:rPr>
                        </w:pPr>
                        <w:r>
                          <w:rPr>
                            <w:rFonts w:ascii="Calibri" w:hAnsi="Calibri"/>
                            <w:b/>
                            <w:bCs/>
                            <w:color w:val="000000"/>
                            <w:sz w:val="22"/>
                            <w:szCs w:val="22"/>
                          </w:rPr>
                        </w:r>
                      </w:p>
                      <w:p>
                        <w:pPr>
                          <w:pStyle w:val="Rahmeninhalt"/>
                          <w:spacing w:before="0" w:after="0"/>
                          <w:rPr>
                            <w:rFonts w:ascii="Calibri" w:hAnsi="Calibri"/>
                            <w:b/>
                            <w:bCs/>
                            <w:color w:val="000000"/>
                            <w:sz w:val="22"/>
                            <w:szCs w:val="22"/>
                          </w:rPr>
                        </w:pPr>
                        <w:r>
                          <w:rPr>
                            <w:rFonts w:ascii="Calibri" w:hAnsi="Calibri"/>
                            <w:b/>
                            <w:bCs/>
                            <w:color w:val="000000"/>
                            <w:sz w:val="22"/>
                            <w:szCs w:val="22"/>
                          </w:rPr>
                        </w:r>
                      </w:p>
                      <w:p>
                        <w:pPr>
                          <w:pStyle w:val="Rahmeninhalt"/>
                          <w:tabs>
                            <w:tab w:val="left" w:pos="1244" w:leader="none"/>
                          </w:tabs>
                          <w:spacing w:before="0" w:after="0"/>
                          <w:rPr>
                            <w:rFonts w:ascii="Calibri" w:hAnsi="Calibri"/>
                            <w:b/>
                            <w:bCs/>
                            <w:color w:val="000000"/>
                            <w:sz w:val="22"/>
                            <w:szCs w:val="22"/>
                          </w:rPr>
                        </w:pPr>
                        <w:r>
                          <w:rPr>
                            <w:rFonts w:ascii="Calibri" w:hAnsi="Calibri"/>
                            <w:b/>
                            <w:bCs/>
                            <w:color w:val="000000"/>
                            <w:sz w:val="22"/>
                            <w:szCs w:val="22"/>
                          </w:rPr>
                          <w:t xml:space="preserve">                         </w:t>
                        </w:r>
                        <w:r>
                          <w:rPr>
                            <w:rFonts w:ascii="Calibri" w:hAnsi="Calibri"/>
                            <w:b/>
                            <w:bCs/>
                            <w:color w:val="000000"/>
                            <w:sz w:val="22"/>
                            <w:szCs w:val="22"/>
                          </w:rPr>
                          <w:t>ja / nein</w:t>
                        </w:r>
                      </w:p>
                      <w:p>
                        <w:pPr>
                          <w:pStyle w:val="Rahmeninhalt"/>
                          <w:spacing w:before="0" w:after="0"/>
                          <w:rPr>
                            <w:rFonts w:ascii="Calibri" w:hAnsi="Calibri"/>
                            <w:b/>
                            <w:bCs/>
                            <w:color w:val="000000"/>
                            <w:sz w:val="22"/>
                            <w:szCs w:val="22"/>
                          </w:rPr>
                        </w:pPr>
                        <w:r>
                          <w:rPr>
                            <w:rFonts w:ascii="Calibri" w:hAnsi="Calibri"/>
                            <w:b/>
                            <w:bCs/>
                            <w:color w:val="000000"/>
                            <w:sz w:val="22"/>
                            <w:szCs w:val="22"/>
                          </w:rPr>
                        </w:r>
                      </w:p>
                      <w:p>
                        <w:pPr>
                          <w:pStyle w:val="Rahmeninhalt"/>
                          <w:spacing w:before="0" w:after="0"/>
                          <w:rPr>
                            <w:rFonts w:ascii="Calibri" w:hAnsi="Calibri"/>
                            <w:b/>
                            <w:bCs/>
                            <w:color w:val="000000"/>
                            <w:sz w:val="22"/>
                            <w:szCs w:val="22"/>
                          </w:rPr>
                        </w:pPr>
                        <w:r>
                          <w:rPr>
                            <w:rFonts w:ascii="Calibri" w:hAnsi="Calibri"/>
                            <w:b/>
                            <w:bCs/>
                            <w:color w:val="000000"/>
                            <w:sz w:val="22"/>
                            <w:szCs w:val="22"/>
                          </w:rPr>
                        </w:r>
                      </w:p>
                      <w:p>
                        <w:pPr>
                          <w:pStyle w:val="Rahmeninhalt"/>
                          <w:spacing w:before="0" w:after="0"/>
                          <w:rPr>
                            <w:rFonts w:ascii="Calibri" w:hAnsi="Calibri"/>
                            <w:b/>
                            <w:bCs/>
                            <w:color w:val="000000"/>
                            <w:sz w:val="22"/>
                            <w:szCs w:val="22"/>
                          </w:rPr>
                        </w:pPr>
                        <w:r>
                          <w:rPr>
                            <w:rFonts w:ascii="Calibri" w:hAnsi="Calibri"/>
                            <w:b/>
                            <w:bCs/>
                            <w:color w:val="000000"/>
                            <w:sz w:val="22"/>
                            <w:szCs w:val="22"/>
                          </w:rPr>
                        </w:r>
                      </w:p>
                      <w:p>
                        <w:pPr>
                          <w:pStyle w:val="Rahmeninhalt"/>
                          <w:tabs>
                            <w:tab w:val="left" w:pos="1244" w:leader="none"/>
                          </w:tabs>
                          <w:spacing w:before="0" w:after="0"/>
                          <w:rPr>
                            <w:rFonts w:ascii="Calibri" w:hAnsi="Calibri"/>
                            <w:b/>
                            <w:bCs/>
                            <w:color w:val="000000"/>
                            <w:sz w:val="22"/>
                            <w:szCs w:val="22"/>
                          </w:rPr>
                        </w:pPr>
                        <w:r>
                          <w:rPr>
                            <w:rFonts w:ascii="Calibri" w:hAnsi="Calibri"/>
                            <w:b/>
                            <w:bCs/>
                            <w:color w:val="000000"/>
                            <w:sz w:val="22"/>
                            <w:szCs w:val="22"/>
                          </w:rPr>
                          <w:t xml:space="preserve">                         </w:t>
                        </w:r>
                        <w:r>
                          <w:rPr>
                            <w:rFonts w:ascii="Calibri" w:hAnsi="Calibri"/>
                            <w:b/>
                            <w:bCs/>
                            <w:color w:val="000000"/>
                            <w:sz w:val="22"/>
                            <w:szCs w:val="22"/>
                          </w:rPr>
                          <w:t>ja / nein</w:t>
                        </w:r>
                      </w:p>
                      <w:p>
                        <w:pPr>
                          <w:pStyle w:val="Rahmeninhalt"/>
                          <w:spacing w:before="0" w:after="0"/>
                          <w:rPr>
                            <w:rFonts w:ascii="Calibri" w:hAnsi="Calibri"/>
                            <w:b/>
                            <w:bCs/>
                            <w:color w:val="000000"/>
                            <w:sz w:val="22"/>
                            <w:szCs w:val="22"/>
                          </w:rPr>
                        </w:pPr>
                        <w:r>
                          <w:rPr>
                            <w:rFonts w:ascii="Calibri" w:hAnsi="Calibri"/>
                            <w:b/>
                            <w:bCs/>
                            <w:color w:val="000000"/>
                            <w:sz w:val="22"/>
                            <w:szCs w:val="22"/>
                          </w:rPr>
                        </w:r>
                      </w:p>
                      <w:p>
                        <w:pPr>
                          <w:pStyle w:val="Rahmeninhalt"/>
                          <w:spacing w:before="0" w:after="0"/>
                          <w:rPr>
                            <w:rFonts w:ascii="Calibri" w:hAnsi="Calibri"/>
                            <w:b/>
                            <w:bCs/>
                            <w:color w:val="000000"/>
                            <w:sz w:val="22"/>
                            <w:szCs w:val="22"/>
                          </w:rPr>
                        </w:pPr>
                        <w:r>
                          <w:rPr>
                            <w:rFonts w:ascii="Calibri" w:hAnsi="Calibri"/>
                            <w:b/>
                            <w:bCs/>
                            <w:color w:val="000000"/>
                            <w:sz w:val="22"/>
                            <w:szCs w:val="22"/>
                          </w:rPr>
                        </w:r>
                      </w:p>
                      <w:p>
                        <w:pPr>
                          <w:pStyle w:val="Rahmeninhalt"/>
                          <w:spacing w:before="0" w:after="0"/>
                          <w:rPr>
                            <w:rFonts w:ascii="Calibri" w:hAnsi="Calibri"/>
                            <w:b/>
                            <w:bCs/>
                            <w:color w:val="000000"/>
                            <w:sz w:val="22"/>
                            <w:szCs w:val="22"/>
                          </w:rPr>
                        </w:pPr>
                        <w:r>
                          <w:rPr>
                            <w:rFonts w:ascii="Calibri" w:hAnsi="Calibri"/>
                            <w:b/>
                            <w:bCs/>
                            <w:color w:val="000000"/>
                            <w:sz w:val="22"/>
                            <w:szCs w:val="22"/>
                          </w:rPr>
                        </w:r>
                      </w:p>
                      <w:p>
                        <w:pPr>
                          <w:pStyle w:val="Rahmeninhalt"/>
                          <w:spacing w:before="0" w:after="0"/>
                          <w:rPr>
                            <w:rFonts w:ascii="Calibri" w:hAnsi="Calibri"/>
                            <w:b/>
                            <w:bCs/>
                            <w:color w:val="000000"/>
                            <w:sz w:val="22"/>
                            <w:szCs w:val="22"/>
                          </w:rPr>
                        </w:pPr>
                        <w:r>
                          <w:rPr>
                            <w:rFonts w:ascii="Calibri" w:hAnsi="Calibri"/>
                            <w:b/>
                            <w:bCs/>
                            <w:color w:val="000000"/>
                            <w:sz w:val="22"/>
                            <w:szCs w:val="22"/>
                          </w:rPr>
                        </w:r>
                      </w:p>
                      <w:p>
                        <w:pPr>
                          <w:pStyle w:val="Rahmeninhalt"/>
                          <w:spacing w:before="0" w:after="0"/>
                          <w:rPr>
                            <w:rFonts w:ascii="Calibri" w:hAnsi="Calibri"/>
                            <w:b/>
                            <w:bCs/>
                            <w:color w:val="000000"/>
                            <w:sz w:val="22"/>
                            <w:szCs w:val="22"/>
                          </w:rPr>
                        </w:pPr>
                        <w:r>
                          <w:rPr>
                            <w:rFonts w:ascii="Calibri" w:hAnsi="Calibri"/>
                            <w:b/>
                            <w:bCs/>
                            <w:color w:val="000000"/>
                            <w:sz w:val="22"/>
                            <w:szCs w:val="22"/>
                          </w:rPr>
                        </w:r>
                      </w:p>
                      <w:p>
                        <w:pPr>
                          <w:pStyle w:val="Rahmeninhalt"/>
                          <w:tabs>
                            <w:tab w:val="left" w:pos="1244" w:leader="none"/>
                          </w:tabs>
                          <w:spacing w:before="0" w:after="0"/>
                          <w:rPr>
                            <w:rFonts w:ascii="Calibri" w:hAnsi="Calibri"/>
                            <w:b/>
                            <w:bCs/>
                            <w:color w:val="000000"/>
                            <w:sz w:val="22"/>
                            <w:szCs w:val="22"/>
                          </w:rPr>
                        </w:pPr>
                        <w:r>
                          <w:rPr>
                            <w:rFonts w:ascii="Calibri" w:hAnsi="Calibri"/>
                            <w:b/>
                            <w:bCs/>
                            <w:color w:val="000000"/>
                            <w:sz w:val="22"/>
                            <w:szCs w:val="22"/>
                          </w:rPr>
                          <w:t xml:space="preserve">                           </w:t>
                        </w:r>
                        <w:r>
                          <w:rPr>
                            <w:rFonts w:ascii="Calibri" w:hAnsi="Calibri"/>
                            <w:b/>
                            <w:bCs/>
                            <w:color w:val="000000"/>
                            <w:sz w:val="22"/>
                            <w:szCs w:val="22"/>
                          </w:rPr>
                          <w:t>ja / nein</w:t>
                        </w:r>
                      </w:p>
                    </w:tc>
                  </w:tr>
                </w:tbl>
                <w:p>
                  <w:pPr>
                    <w:pStyle w:val="Rahmeninhalt"/>
                    <w:spacing w:before="0" w:after="200"/>
                    <w:rPr/>
                  </w:pPr>
                  <w:r>
                    <w:rPr/>
                  </w:r>
                </w:p>
              </w:txbxContent>
            </v:textbox>
          </v:rect>
        </w:pict>
      </w:r>
    </w:p>
    <w:p>
      <w:pPr>
        <w:pStyle w:val="Normal"/>
        <w:rPr/>
      </w:pPr>
      <w:r>
        <w:rPr/>
      </w:r>
    </w:p>
    <w:p>
      <w:pPr>
        <w:pStyle w:val="Normal"/>
        <w:pageBreakBefore/>
        <w:rPr/>
      </w:pPr>
      <w:r>
        <w:rPr/>
        <w:t xml:space="preserve">M2 </w:t>
      </w:r>
    </w:p>
    <w:p>
      <w:pPr>
        <w:pStyle w:val="Normal"/>
        <w:ind w:left="567" w:right="0" w:hanging="0"/>
        <w:rPr/>
      </w:pPr>
      <w:r>
        <w:rPr/>
        <w:drawing>
          <wp:inline distT="0" distB="0" distL="0" distR="0">
            <wp:extent cx="5010150" cy="7033260"/>
            <wp:effectExtent l="0" t="0" r="0" b="0"/>
            <wp:docPr id="0" name="Pictur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descr=""/>
                    <pic:cNvPicPr>
                      <a:picLocks noChangeAspect="1" noChangeArrowheads="1"/>
                    </pic:cNvPicPr>
                  </pic:nvPicPr>
                  <pic:blipFill>
                    <a:blip r:embed="rId2"/>
                    <a:stretch>
                      <a:fillRect/>
                    </a:stretch>
                  </pic:blipFill>
                  <pic:spPr bwMode="auto">
                    <a:xfrm>
                      <a:off x="0" y="0"/>
                      <a:ext cx="5010150" cy="7033260"/>
                    </a:xfrm>
                    <a:prstGeom prst="rect">
                      <a:avLst/>
                    </a:prstGeom>
                    <a:noFill/>
                    <a:ln w="9525">
                      <a:noFill/>
                      <a:miter lim="800000"/>
                      <a:headEnd/>
                      <a:tailEnd/>
                    </a:ln>
                  </pic:spPr>
                </pic:pic>
              </a:graphicData>
            </a:graphic>
          </wp:inline>
        </w:drawing>
      </w:r>
    </w:p>
    <w:p>
      <w:pPr>
        <w:pStyle w:val="Normal"/>
        <w:rPr/>
      </w:pPr>
      <w:r>
        <w:rPr/>
      </w:r>
    </w:p>
    <w:p>
      <w:pPr>
        <w:pStyle w:val="Normal"/>
        <w:pageBreakBefore/>
        <w:rPr>
          <w:rFonts w:ascii="Calibri" w:hAnsi="Calibri"/>
          <w:sz w:val="22"/>
          <w:szCs w:val="22"/>
        </w:rPr>
      </w:pPr>
      <w:r>
        <w:rPr>
          <w:rFonts w:ascii="Calibri" w:hAnsi="Calibri"/>
          <w:sz w:val="22"/>
          <w:szCs w:val="22"/>
        </w:rPr>
        <w:t>Erwartungshorizont</w:t>
      </w:r>
    </w:p>
    <w:p>
      <w:pPr>
        <w:pStyle w:val="Normal"/>
        <w:rPr>
          <w:rFonts w:ascii="Calibri" w:hAnsi="Calibri"/>
          <w:sz w:val="22"/>
          <w:szCs w:val="22"/>
        </w:rPr>
      </w:pPr>
      <w:r>
        <w:rPr>
          <w:rFonts w:ascii="Calibri" w:hAnsi="Calibri"/>
          <w:sz w:val="22"/>
          <w:szCs w:val="22"/>
        </w:rPr>
        <w:t>Zu 1.:</w:t>
      </w:r>
    </w:p>
    <w:p>
      <w:pPr>
        <w:pStyle w:val="ListParagraph"/>
        <w:numPr>
          <w:ilvl w:val="0"/>
          <w:numId w:val="3"/>
        </w:numPr>
        <w:rPr>
          <w:rFonts w:ascii="Calibri" w:hAnsi="Calibri"/>
          <w:sz w:val="22"/>
          <w:szCs w:val="22"/>
        </w:rPr>
      </w:pPr>
      <w:r>
        <w:rPr>
          <w:rFonts w:ascii="Calibri" w:hAnsi="Calibri"/>
          <w:sz w:val="22"/>
          <w:szCs w:val="22"/>
        </w:rPr>
        <w:t>Die Antwortmöglichkeiten b) und d) sind richtig. Die übrigen (a,c,e) sind falsch.</w:t>
      </w:r>
    </w:p>
    <w:p>
      <w:pPr>
        <w:pStyle w:val="ListParagraph"/>
        <w:rPr>
          <w:rFonts w:ascii="Calibri" w:hAnsi="Calibri"/>
          <w:sz w:val="22"/>
          <w:szCs w:val="22"/>
        </w:rPr>
      </w:pPr>
      <w:r>
        <w:rPr>
          <w:rFonts w:ascii="Calibri" w:hAnsi="Calibri"/>
          <w:sz w:val="22"/>
          <w:szCs w:val="22"/>
        </w:rPr>
      </w:r>
    </w:p>
    <w:p>
      <w:pPr>
        <w:pStyle w:val="Normal"/>
        <w:rPr>
          <w:rFonts w:ascii="Calibri" w:hAnsi="Calibri"/>
          <w:sz w:val="22"/>
          <w:szCs w:val="22"/>
        </w:rPr>
      </w:pPr>
      <w:r>
        <w:rPr>
          <w:rFonts w:ascii="Calibri" w:hAnsi="Calibri"/>
          <w:sz w:val="22"/>
          <w:szCs w:val="22"/>
        </w:rPr>
        <w:t xml:space="preserve">Zu 2.: Der Erwartungshorizont orientiert sich am Vergleich der Sondergutstellen (Mt und Lk) nach Theißen/Merz, Der historische Jesus. Ein Lehrbuch, Göttingen 1996. </w:t>
      </w:r>
    </w:p>
    <w:p>
      <w:pPr>
        <w:pStyle w:val="ListParagraph"/>
        <w:numPr>
          <w:ilvl w:val="0"/>
          <w:numId w:val="3"/>
        </w:numPr>
        <w:rPr>
          <w:rFonts w:ascii="Calibri" w:hAnsi="Calibri"/>
          <w:sz w:val="22"/>
          <w:szCs w:val="22"/>
        </w:rPr>
      </w:pPr>
      <w:r>
        <w:rPr>
          <w:rFonts w:ascii="Calibri" w:hAnsi="Calibri"/>
          <w:sz w:val="22"/>
          <w:szCs w:val="22"/>
        </w:rPr>
        <w:t>bei Mt:</w:t>
      </w:r>
    </w:p>
    <w:p>
      <w:pPr>
        <w:pStyle w:val="ListParagraph"/>
        <w:numPr>
          <w:ilvl w:val="1"/>
          <w:numId w:val="3"/>
        </w:numPr>
        <w:rPr>
          <w:rFonts w:ascii="Calibri" w:hAnsi="Calibri"/>
          <w:sz w:val="22"/>
          <w:szCs w:val="22"/>
        </w:rPr>
      </w:pPr>
      <w:r>
        <w:rPr>
          <w:rFonts w:ascii="Calibri" w:hAnsi="Calibri"/>
          <w:sz w:val="22"/>
          <w:szCs w:val="22"/>
        </w:rPr>
        <w:t>Entlastung der Römer: 27,19 (Traum der Frau des Pilatus); 27,24f. (Handwaschung)</w:t>
      </w:r>
    </w:p>
    <w:p>
      <w:pPr>
        <w:pStyle w:val="ListParagraph"/>
        <w:numPr>
          <w:ilvl w:val="1"/>
          <w:numId w:val="3"/>
        </w:numPr>
        <w:rPr>
          <w:rFonts w:ascii="Calibri" w:hAnsi="Calibri"/>
          <w:sz w:val="22"/>
          <w:szCs w:val="22"/>
        </w:rPr>
      </w:pPr>
      <w:r>
        <w:rPr>
          <w:rFonts w:ascii="Calibri" w:hAnsi="Calibri"/>
          <w:sz w:val="22"/>
          <w:szCs w:val="22"/>
        </w:rPr>
        <w:t>Belastung der Lokalaristokratie und des Volkes: 27,6 (Pharisäer bestätigen das Unrecht ihrer Tat); 27,25 (sein Blut komme über uns und unsere Kindeskinder); 27,62-66 (Belastung der Pharisäer als betrügerische Verführer)</w:t>
      </w:r>
    </w:p>
    <w:p>
      <w:pPr>
        <w:pStyle w:val="ListParagraph"/>
        <w:numPr>
          <w:ilvl w:val="0"/>
          <w:numId w:val="3"/>
        </w:numPr>
        <w:rPr>
          <w:rFonts w:ascii="Calibri" w:hAnsi="Calibri"/>
          <w:sz w:val="22"/>
          <w:szCs w:val="22"/>
        </w:rPr>
      </w:pPr>
      <w:r>
        <w:rPr>
          <w:rFonts w:ascii="Calibri" w:hAnsi="Calibri"/>
          <w:sz w:val="22"/>
          <w:szCs w:val="22"/>
        </w:rPr>
        <w:t>bei Lk:</w:t>
      </w:r>
    </w:p>
    <w:p>
      <w:pPr>
        <w:pStyle w:val="ListParagraph"/>
        <w:numPr>
          <w:ilvl w:val="1"/>
          <w:numId w:val="3"/>
        </w:numPr>
        <w:rPr>
          <w:rFonts w:ascii="Calibri" w:hAnsi="Calibri"/>
          <w:sz w:val="22"/>
          <w:szCs w:val="22"/>
        </w:rPr>
      </w:pPr>
      <w:r>
        <w:rPr>
          <w:rFonts w:ascii="Calibri" w:hAnsi="Calibri"/>
          <w:sz w:val="22"/>
          <w:szCs w:val="22"/>
        </w:rPr>
        <w:t>Entlastung der Römer: 23,6-16 (Pilatus findet keine Schuld an Jesus)</w:t>
      </w:r>
    </w:p>
    <w:p>
      <w:pPr>
        <w:pStyle w:val="ListParagraph"/>
        <w:numPr>
          <w:ilvl w:val="1"/>
          <w:numId w:val="3"/>
        </w:numPr>
        <w:rPr>
          <w:rFonts w:ascii="Calibri" w:hAnsi="Calibri"/>
          <w:sz w:val="22"/>
          <w:szCs w:val="22"/>
        </w:rPr>
      </w:pPr>
      <w:r>
        <w:rPr>
          <w:rFonts w:ascii="Calibri" w:hAnsi="Calibri"/>
          <w:sz w:val="22"/>
          <w:szCs w:val="22"/>
        </w:rPr>
        <w:t>Belastung der Jerusalemer Lokalaristokratie (23,6-16)</w:t>
      </w:r>
    </w:p>
    <w:p>
      <w:pPr>
        <w:pStyle w:val="ListParagraph"/>
        <w:numPr>
          <w:ilvl w:val="1"/>
          <w:numId w:val="3"/>
        </w:numPr>
        <w:rPr>
          <w:rFonts w:ascii="Calibri" w:hAnsi="Calibri"/>
          <w:sz w:val="22"/>
          <w:szCs w:val="22"/>
        </w:rPr>
      </w:pPr>
      <w:r>
        <w:rPr>
          <w:rFonts w:ascii="Calibri" w:hAnsi="Calibri"/>
          <w:sz w:val="22"/>
          <w:szCs w:val="22"/>
        </w:rPr>
        <w:t>teilweise Entlastung des Volkes: 23,27-31 (Weinen und Klagen der Volksmenge); 23,39 (nur einer der beiden Schächer schmäht Jesus</w:t>
      </w:r>
    </w:p>
    <w:p>
      <w:pPr>
        <w:pStyle w:val="Normal"/>
        <w:rPr>
          <w:rFonts w:ascii="Calibri" w:hAnsi="Calibri"/>
          <w:sz w:val="22"/>
          <w:szCs w:val="22"/>
        </w:rPr>
      </w:pPr>
      <w:r>
        <w:rPr>
          <w:rFonts w:ascii="Calibri" w:hAnsi="Calibri"/>
          <w:sz w:val="22"/>
          <w:szCs w:val="22"/>
        </w:rPr>
        <w:t xml:space="preserve">Zu 3.: </w:t>
      </w:r>
    </w:p>
    <w:p>
      <w:pPr>
        <w:pStyle w:val="Normal"/>
        <w:rPr>
          <w:rFonts w:ascii="Calibri" w:hAnsi="Calibri"/>
          <w:sz w:val="22"/>
          <w:szCs w:val="22"/>
        </w:rPr>
      </w:pPr>
      <w:r>
        <w:rPr>
          <w:rFonts w:ascii="Calibri" w:hAnsi="Calibri"/>
          <w:sz w:val="22"/>
          <w:szCs w:val="22"/>
        </w:rPr>
        <w:t>Die SuS können auf folgende Kategorien bei der Plakatbeschreibung (aus Ge/ Gk)  zurückgreifen:</w:t>
      </w:r>
    </w:p>
    <w:p>
      <w:pPr>
        <w:pStyle w:val="ListParagraph"/>
        <w:numPr>
          <w:ilvl w:val="0"/>
          <w:numId w:val="4"/>
        </w:numPr>
        <w:rPr>
          <w:rFonts w:ascii="Calibri" w:hAnsi="Calibri"/>
          <w:sz w:val="22"/>
          <w:szCs w:val="22"/>
        </w:rPr>
      </w:pPr>
      <w:r>
        <w:rPr>
          <w:rFonts w:ascii="Calibri" w:hAnsi="Calibri"/>
          <w:sz w:val="22"/>
          <w:szCs w:val="22"/>
        </w:rPr>
        <w:t>Gattung: Wahlkampfplakat der PBC</w:t>
      </w:r>
    </w:p>
    <w:p>
      <w:pPr>
        <w:pStyle w:val="ListParagraph"/>
        <w:numPr>
          <w:ilvl w:val="0"/>
          <w:numId w:val="4"/>
        </w:numPr>
        <w:rPr>
          <w:rFonts w:ascii="Calibri" w:hAnsi="Calibri"/>
          <w:sz w:val="22"/>
          <w:szCs w:val="22"/>
        </w:rPr>
      </w:pPr>
      <w:r>
        <w:rPr>
          <w:rFonts w:ascii="Calibri" w:hAnsi="Calibri"/>
          <w:sz w:val="22"/>
          <w:szCs w:val="22"/>
        </w:rPr>
        <w:t>Inhaltlicher Bildtypus: Schlagworte und Parolen, Bibelzitat</w:t>
      </w:r>
    </w:p>
    <w:p>
      <w:pPr>
        <w:pStyle w:val="ListParagraph"/>
        <w:numPr>
          <w:ilvl w:val="0"/>
          <w:numId w:val="4"/>
        </w:numPr>
        <w:rPr>
          <w:rFonts w:ascii="Calibri" w:hAnsi="Calibri"/>
          <w:sz w:val="22"/>
          <w:szCs w:val="22"/>
        </w:rPr>
      </w:pPr>
      <w:r>
        <w:rPr>
          <w:rFonts w:ascii="Calibri" w:hAnsi="Calibri"/>
          <w:sz w:val="22"/>
          <w:szCs w:val="22"/>
        </w:rPr>
        <w:t>Präsentationsform: öffentlich</w:t>
      </w:r>
    </w:p>
    <w:p>
      <w:pPr>
        <w:pStyle w:val="ListParagraph"/>
        <w:numPr>
          <w:ilvl w:val="0"/>
          <w:numId w:val="4"/>
        </w:numPr>
        <w:rPr>
          <w:rFonts w:ascii="Calibri" w:hAnsi="Calibri"/>
          <w:sz w:val="22"/>
          <w:szCs w:val="22"/>
        </w:rPr>
      </w:pPr>
      <w:r>
        <w:rPr>
          <w:rFonts w:ascii="Calibri" w:hAnsi="Calibri"/>
          <w:sz w:val="22"/>
          <w:szCs w:val="22"/>
        </w:rPr>
        <w:t>Komposition:</w:t>
      </w:r>
    </w:p>
    <w:p>
      <w:pPr>
        <w:pStyle w:val="ListParagraph"/>
        <w:numPr>
          <w:ilvl w:val="1"/>
          <w:numId w:val="4"/>
        </w:numPr>
        <w:rPr>
          <w:rFonts w:ascii="Calibri" w:hAnsi="Calibri"/>
          <w:sz w:val="22"/>
          <w:szCs w:val="22"/>
        </w:rPr>
      </w:pPr>
      <w:r>
        <w:rPr>
          <w:rFonts w:ascii="Calibri" w:hAnsi="Calibri"/>
          <w:sz w:val="22"/>
          <w:szCs w:val="22"/>
        </w:rPr>
        <w:t>Jesus als zentrales, dominierendes  Wort</w:t>
      </w:r>
    </w:p>
    <w:p>
      <w:pPr>
        <w:pStyle w:val="ListParagraph"/>
        <w:numPr>
          <w:ilvl w:val="1"/>
          <w:numId w:val="4"/>
        </w:numPr>
        <w:rPr>
          <w:rFonts w:ascii="Calibri" w:hAnsi="Calibri"/>
          <w:sz w:val="22"/>
          <w:szCs w:val="22"/>
        </w:rPr>
      </w:pPr>
      <w:r>
        <w:rPr>
          <w:rFonts w:ascii="Calibri" w:hAnsi="Calibri"/>
          <w:sz w:val="22"/>
          <w:szCs w:val="22"/>
        </w:rPr>
        <w:t>umrahmt mit politischer Feststellung/ Forderung in Ich-Form</w:t>
      </w:r>
    </w:p>
    <w:p>
      <w:pPr>
        <w:pStyle w:val="ListParagraph"/>
        <w:numPr>
          <w:ilvl w:val="1"/>
          <w:numId w:val="4"/>
        </w:numPr>
        <w:rPr>
          <w:rFonts w:ascii="Calibri" w:hAnsi="Calibri"/>
          <w:sz w:val="22"/>
          <w:szCs w:val="22"/>
        </w:rPr>
      </w:pPr>
      <w:r>
        <w:rPr>
          <w:rFonts w:ascii="Calibri" w:hAnsi="Calibri"/>
          <w:sz w:val="22"/>
          <w:szCs w:val="22"/>
        </w:rPr>
        <w:t>Ergänzung durch Bibelzitat</w:t>
      </w:r>
    </w:p>
    <w:p>
      <w:pPr>
        <w:pStyle w:val="ListParagraph"/>
        <w:numPr>
          <w:ilvl w:val="1"/>
          <w:numId w:val="4"/>
        </w:numPr>
        <w:rPr>
          <w:rFonts w:ascii="Calibri" w:hAnsi="Calibri"/>
          <w:sz w:val="22"/>
          <w:szCs w:val="22"/>
        </w:rPr>
      </w:pPr>
      <w:r>
        <w:rPr>
          <w:rFonts w:ascii="Calibri" w:hAnsi="Calibri"/>
          <w:sz w:val="22"/>
          <w:szCs w:val="22"/>
        </w:rPr>
        <w:t>Angabe der Bibelstelle ist versehen mit dem Slogan „Wir brauchen feste Maßstäbe“</w:t>
      </w:r>
    </w:p>
    <w:p>
      <w:pPr>
        <w:pStyle w:val="ListParagraph"/>
        <w:numPr>
          <w:ilvl w:val="1"/>
          <w:numId w:val="4"/>
        </w:numPr>
        <w:rPr>
          <w:rFonts w:ascii="Calibri" w:hAnsi="Calibri"/>
          <w:sz w:val="22"/>
          <w:szCs w:val="22"/>
        </w:rPr>
      </w:pPr>
      <w:r>
        <w:rPr>
          <w:rFonts w:ascii="Calibri" w:hAnsi="Calibri"/>
          <w:sz w:val="22"/>
          <w:szCs w:val="22"/>
        </w:rPr>
        <w:t xml:space="preserve">Unterer Teil: Verfasser / Kontaktdaten </w:t>
      </w:r>
    </w:p>
    <w:p>
      <w:pPr>
        <w:pStyle w:val="ListParagraph"/>
        <w:numPr>
          <w:ilvl w:val="0"/>
          <w:numId w:val="4"/>
        </w:numPr>
        <w:rPr>
          <w:rFonts w:ascii="Calibri" w:hAnsi="Calibri"/>
          <w:sz w:val="22"/>
          <w:szCs w:val="22"/>
        </w:rPr>
      </w:pPr>
      <w:r>
        <w:rPr>
          <w:rFonts w:ascii="Calibri" w:hAnsi="Calibri"/>
          <w:sz w:val="22"/>
          <w:szCs w:val="22"/>
        </w:rPr>
        <w:t>Perspektive:</w:t>
      </w:r>
    </w:p>
    <w:p>
      <w:pPr>
        <w:pStyle w:val="ListParagraph"/>
        <w:numPr>
          <w:ilvl w:val="1"/>
          <w:numId w:val="4"/>
        </w:numPr>
        <w:rPr>
          <w:rFonts w:ascii="Calibri" w:hAnsi="Calibri"/>
          <w:sz w:val="22"/>
          <w:szCs w:val="22"/>
        </w:rPr>
      </w:pPr>
      <w:r>
        <w:rPr>
          <w:rFonts w:ascii="Calibri" w:hAnsi="Calibri"/>
          <w:sz w:val="22"/>
          <w:szCs w:val="22"/>
        </w:rPr>
        <w:t>Zentralperspektive</w:t>
      </w:r>
    </w:p>
    <w:p>
      <w:pPr>
        <w:pStyle w:val="ListParagraph"/>
        <w:numPr>
          <w:ilvl w:val="1"/>
          <w:numId w:val="4"/>
        </w:numPr>
        <w:rPr>
          <w:rFonts w:ascii="Calibri" w:hAnsi="Calibri"/>
          <w:sz w:val="22"/>
          <w:szCs w:val="22"/>
        </w:rPr>
      </w:pPr>
      <w:r>
        <w:rPr>
          <w:rFonts w:ascii="Calibri" w:hAnsi="Calibri"/>
          <w:sz w:val="22"/>
          <w:szCs w:val="22"/>
        </w:rPr>
        <w:t>Verhältnis zum Betrachter: Aufmerksamkeit wird massiv auf das Wort „Jesus“ bezogen</w:t>
      </w:r>
    </w:p>
    <w:p>
      <w:pPr>
        <w:pStyle w:val="Normal"/>
        <w:suppressAutoHyphens w:val="false"/>
        <w:spacing w:before="0" w:after="0"/>
        <w:rPr>
          <w:rFonts w:ascii="Calibri" w:hAnsi="Calibri"/>
          <w:sz w:val="22"/>
          <w:szCs w:val="22"/>
        </w:rPr>
      </w:pPr>
      <w:r>
        <w:rPr>
          <w:rFonts w:ascii="Calibri" w:hAnsi="Calibri"/>
          <w:sz w:val="22"/>
          <w:szCs w:val="22"/>
        </w:rPr>
      </w:r>
    </w:p>
    <w:p>
      <w:pPr>
        <w:pStyle w:val="Normal"/>
        <w:suppressAutoHyphens w:val="false"/>
        <w:spacing w:before="0" w:after="0"/>
        <w:rPr>
          <w:rFonts w:ascii="Calibri" w:hAnsi="Calibri"/>
          <w:sz w:val="22"/>
          <w:szCs w:val="22"/>
        </w:rPr>
      </w:pPr>
      <w:r>
        <w:rPr>
          <w:rFonts w:ascii="Calibri" w:hAnsi="Calibri"/>
          <w:sz w:val="22"/>
          <w:szCs w:val="22"/>
        </w:rPr>
      </w:r>
    </w:p>
    <w:p>
      <w:pPr>
        <w:pStyle w:val="Normal"/>
        <w:suppressAutoHyphens w:val="false"/>
        <w:spacing w:before="0" w:after="0"/>
        <w:rPr>
          <w:rFonts w:ascii="Calibri" w:hAnsi="Calibri"/>
          <w:sz w:val="22"/>
          <w:szCs w:val="22"/>
        </w:rPr>
      </w:pPr>
      <w:r>
        <w:rPr>
          <w:rFonts w:ascii="Calibri" w:hAnsi="Calibri"/>
          <w:sz w:val="22"/>
          <w:szCs w:val="22"/>
        </w:rPr>
      </w:r>
    </w:p>
    <w:p>
      <w:pPr>
        <w:pStyle w:val="Normal"/>
        <w:rPr>
          <w:rFonts w:ascii="Calibri" w:hAnsi="Calibri"/>
          <w:sz w:val="22"/>
          <w:szCs w:val="22"/>
        </w:rPr>
      </w:pPr>
      <w:r>
        <w:rPr>
          <w:rFonts w:ascii="Calibri" w:hAnsi="Calibri"/>
          <w:sz w:val="22"/>
          <w:szCs w:val="22"/>
        </w:rPr>
      </w:r>
    </w:p>
    <w:p>
      <w:pPr>
        <w:pStyle w:val="Normal"/>
        <w:rPr>
          <w:rFonts w:ascii="Calibri" w:hAnsi="Calibri"/>
          <w:sz w:val="22"/>
          <w:szCs w:val="22"/>
        </w:rPr>
      </w:pPr>
      <w:r>
        <w:rPr>
          <w:rFonts w:ascii="Calibri" w:hAnsi="Calibri"/>
          <w:sz w:val="22"/>
          <w:szCs w:val="22"/>
        </w:rPr>
      </w:r>
    </w:p>
    <w:p>
      <w:pPr>
        <w:pStyle w:val="Normal"/>
        <w:rPr>
          <w:rFonts w:ascii="Calibri" w:hAnsi="Calibri"/>
          <w:sz w:val="22"/>
          <w:szCs w:val="22"/>
        </w:rPr>
      </w:pPr>
      <w:r>
        <w:rPr>
          <w:rFonts w:ascii="Calibri" w:hAnsi="Calibri"/>
          <w:sz w:val="22"/>
          <w:szCs w:val="22"/>
        </w:rPr>
      </w:r>
    </w:p>
    <w:p>
      <w:pPr>
        <w:pStyle w:val="Normal"/>
        <w:rPr>
          <w:rFonts w:ascii="Calibri" w:hAnsi="Calibri"/>
          <w:sz w:val="22"/>
          <w:szCs w:val="22"/>
        </w:rPr>
      </w:pPr>
      <w:r>
        <w:rPr>
          <w:rFonts w:ascii="Calibri" w:hAnsi="Calibri"/>
          <w:sz w:val="22"/>
          <w:szCs w:val="22"/>
        </w:rPr>
      </w:r>
    </w:p>
    <w:p>
      <w:pPr>
        <w:pStyle w:val="Normal"/>
        <w:rPr>
          <w:rFonts w:ascii="Calibri" w:hAnsi="Calibri"/>
          <w:sz w:val="22"/>
          <w:szCs w:val="22"/>
        </w:rPr>
      </w:pPr>
      <w:r>
        <w:rPr>
          <w:rFonts w:ascii="Calibri" w:hAnsi="Calibri"/>
          <w:sz w:val="22"/>
          <w:szCs w:val="22"/>
        </w:rPr>
        <w:t>Zu 4.:</w:t>
      </w:r>
    </w:p>
    <w:p>
      <w:pPr>
        <w:pStyle w:val="Normal"/>
        <w:rPr>
          <w:rFonts w:ascii="Calibri" w:hAnsi="Calibri"/>
          <w:sz w:val="22"/>
          <w:szCs w:val="22"/>
        </w:rPr>
      </w:pPr>
      <w:r>
        <w:rPr>
          <w:rFonts w:ascii="Calibri" w:hAnsi="Calibri"/>
          <w:sz w:val="22"/>
          <w:szCs w:val="22"/>
        </w:rPr>
        <w:t xml:space="preserve">Die Klausur steht am Ende der Unterrichtseinheit, die sich aus der im Bildungsplan so genannten Dimension und Themenfeld Jesus Christus ergibt. </w:t>
      </w:r>
    </w:p>
    <w:p>
      <w:pPr>
        <w:pStyle w:val="Normal"/>
        <w:rPr>
          <w:rFonts w:ascii="Calibri" w:hAnsi="Calibri"/>
          <w:sz w:val="22"/>
          <w:szCs w:val="22"/>
        </w:rPr>
      </w:pPr>
      <w:r>
        <w:rPr>
          <w:rFonts w:ascii="Calibri" w:hAnsi="Calibri"/>
          <w:sz w:val="22"/>
          <w:szCs w:val="22"/>
        </w:rPr>
        <w:t>Es wird empfohlen, die vorliegende Anforderungssituation  nach der Schrittfolge des Theologischen Argumentierens (s. ZPGII) zu bearbeiten.</w:t>
      </w:r>
    </w:p>
    <w:p>
      <w:pPr>
        <w:pStyle w:val="Normal"/>
        <w:rPr>
          <w:rFonts w:ascii="Calibri" w:hAnsi="Calibri"/>
          <w:b/>
          <w:sz w:val="22"/>
          <w:szCs w:val="22"/>
        </w:rPr>
      </w:pPr>
      <w:r>
        <w:rPr>
          <w:rFonts w:ascii="Calibri" w:hAnsi="Calibri"/>
          <w:b/>
          <w:sz w:val="22"/>
          <w:szCs w:val="22"/>
        </w:rPr>
        <w:t xml:space="preserve">Eine gute oder sehr gute Leistung liegt vor, </w:t>
      </w:r>
    </w:p>
    <w:p>
      <w:pPr>
        <w:pStyle w:val="ListParagraph"/>
        <w:numPr>
          <w:ilvl w:val="0"/>
          <w:numId w:val="11"/>
        </w:numPr>
        <w:rPr>
          <w:rFonts w:ascii="Calibri" w:hAnsi="Calibri"/>
          <w:b/>
          <w:sz w:val="22"/>
          <w:szCs w:val="22"/>
        </w:rPr>
      </w:pPr>
      <w:r>
        <w:rPr>
          <w:rFonts w:ascii="Calibri" w:hAnsi="Calibri"/>
          <w:b/>
          <w:sz w:val="22"/>
          <w:szCs w:val="22"/>
        </w:rPr>
        <w:t>wenn die folgende Schrittfolge beachtet und die damit verbundenen Fragen  so (s.u.) oder so ähnlich beantwortet sind und eine begründete Antwort  vorliegt:</w:t>
      </w:r>
    </w:p>
    <w:p>
      <w:pPr>
        <w:pStyle w:val="Normal"/>
        <w:rPr>
          <w:rFonts w:ascii="Calibri" w:hAnsi="Calibri"/>
          <w:sz w:val="22"/>
          <w:szCs w:val="22"/>
        </w:rPr>
      </w:pPr>
      <w:r>
        <w:rPr>
          <w:rFonts w:ascii="Calibri" w:hAnsi="Calibri"/>
          <w:sz w:val="22"/>
          <w:szCs w:val="22"/>
        </w:rPr>
        <w:t xml:space="preserve">1. Behauptung/ These: </w:t>
      </w:r>
    </w:p>
    <w:p>
      <w:pPr>
        <w:pStyle w:val="ListParagraph"/>
        <w:numPr>
          <w:ilvl w:val="0"/>
          <w:numId w:val="5"/>
        </w:numPr>
        <w:rPr>
          <w:rFonts w:ascii="Calibri" w:hAnsi="Calibri"/>
          <w:sz w:val="22"/>
          <w:szCs w:val="22"/>
        </w:rPr>
      </w:pPr>
      <w:r>
        <w:rPr>
          <w:rFonts w:ascii="Calibri" w:hAnsi="Calibri"/>
          <w:sz w:val="22"/>
          <w:szCs w:val="22"/>
        </w:rPr>
        <w:t>Die SuS leiten aus dem Plakat die zentrale These ab, dass ein Bekenntnis zu Jesus im privaten und öffentlichen Bereich von der PBC als notwendig angesehen wird.</w:t>
      </w:r>
    </w:p>
    <w:p>
      <w:pPr>
        <w:pStyle w:val="Normal"/>
        <w:rPr>
          <w:rFonts w:ascii="Calibri" w:hAnsi="Calibri"/>
          <w:sz w:val="22"/>
          <w:szCs w:val="22"/>
        </w:rPr>
      </w:pPr>
      <w:r>
        <w:rPr>
          <w:rFonts w:ascii="Calibri" w:hAnsi="Calibri"/>
          <w:sz w:val="22"/>
          <w:szCs w:val="22"/>
        </w:rPr>
        <w:t>2. Erläuterung der These: Was ist damit gemeint? (Was besagt das Gegenteil?)</w:t>
      </w:r>
    </w:p>
    <w:p>
      <w:pPr>
        <w:pStyle w:val="ListParagraph"/>
        <w:numPr>
          <w:ilvl w:val="0"/>
          <w:numId w:val="5"/>
        </w:numPr>
        <w:rPr>
          <w:rFonts w:ascii="Calibri" w:hAnsi="Calibri"/>
          <w:sz w:val="22"/>
          <w:szCs w:val="22"/>
        </w:rPr>
      </w:pPr>
      <w:r>
        <w:rPr>
          <w:rFonts w:ascii="Calibri" w:hAnsi="Calibri"/>
          <w:sz w:val="22"/>
          <w:szCs w:val="22"/>
        </w:rPr>
        <w:t>Die SuS stellen fest, dass bei dem vorliegenden Plakat Jesus Christus und das Evangelium Grundlage und Ausgangspunkt für das politische Engagement der PBC sind. Wer sich also im politischen Bereich zu Jesus bekennt, den bekennt Jesus auch vor Gott. Im Gegenzug hieße dies, wer sich nicht zu Jesus bekennt, kann nicht mit dessen und Gottes Unterstützung rechnen.</w:t>
      </w:r>
    </w:p>
    <w:p>
      <w:pPr>
        <w:pStyle w:val="Normal"/>
        <w:rPr>
          <w:rFonts w:ascii="Calibri" w:hAnsi="Calibri"/>
          <w:sz w:val="22"/>
          <w:szCs w:val="22"/>
        </w:rPr>
      </w:pPr>
      <w:r>
        <w:rPr>
          <w:rFonts w:ascii="Calibri" w:hAnsi="Calibri"/>
          <w:sz w:val="22"/>
          <w:szCs w:val="22"/>
        </w:rPr>
        <w:t xml:space="preserve">3. Biblisch-theologische Begründungen </w:t>
      </w:r>
    </w:p>
    <w:p>
      <w:pPr>
        <w:pStyle w:val="ListParagraph"/>
        <w:numPr>
          <w:ilvl w:val="0"/>
          <w:numId w:val="5"/>
        </w:numPr>
        <w:rPr>
          <w:rFonts w:ascii="Calibri" w:hAnsi="Calibri"/>
          <w:sz w:val="22"/>
          <w:szCs w:val="22"/>
        </w:rPr>
      </w:pPr>
      <w:r>
        <w:rPr>
          <w:rFonts w:ascii="Calibri" w:hAnsi="Calibri"/>
          <w:sz w:val="22"/>
          <w:szCs w:val="22"/>
        </w:rPr>
        <w:t>Die SuS ordnen die möglichst im Unterricht behandelte  Perikope  in den theologischen Kontext ein und können außerdem etwas über die Bedeutung der Nachfolge Jesu sagen. Der Hinweis auf andere Perikopen, die die Nachfolge thematisieren ist ebenso möglich wie der Hinweis auf die verschiedenen Konzepte, angemessen mit der der Bergpredigt umzugehen.</w:t>
      </w:r>
    </w:p>
    <w:p>
      <w:pPr>
        <w:pStyle w:val="Normal"/>
        <w:rPr>
          <w:rFonts w:ascii="Calibri" w:hAnsi="Calibri"/>
          <w:sz w:val="22"/>
          <w:szCs w:val="22"/>
        </w:rPr>
      </w:pPr>
      <w:r>
        <w:rPr>
          <w:rFonts w:ascii="Calibri" w:hAnsi="Calibri"/>
          <w:sz w:val="22"/>
          <w:szCs w:val="22"/>
        </w:rPr>
        <w:t>4. Auseinandersetzung mit anderen Sichtweisen: Wer beschäftigt sich mit dem angesprochenen Thema? Wie sind diese Sichtweisen einzuordnen?</w:t>
      </w:r>
    </w:p>
    <w:p>
      <w:pPr>
        <w:pStyle w:val="ListParagraph"/>
        <w:numPr>
          <w:ilvl w:val="0"/>
          <w:numId w:val="6"/>
        </w:numPr>
        <w:rPr>
          <w:rFonts w:ascii="Calibri" w:hAnsi="Calibri"/>
          <w:sz w:val="22"/>
          <w:szCs w:val="22"/>
        </w:rPr>
      </w:pPr>
      <w:r>
        <w:rPr>
          <w:rFonts w:ascii="Calibri" w:hAnsi="Calibri"/>
          <w:sz w:val="22"/>
          <w:szCs w:val="22"/>
        </w:rPr>
        <w:t>Die SuS nehmen eine naheliegende Klärung des Parteinamens vor und erkennen die direkte Übernahme  biblischer Worte und Inhalte in politische Wahlkämpfe</w:t>
      </w:r>
    </w:p>
    <w:p>
      <w:pPr>
        <w:pStyle w:val="ListParagraph"/>
        <w:numPr>
          <w:ilvl w:val="0"/>
          <w:numId w:val="6"/>
        </w:numPr>
        <w:rPr>
          <w:rFonts w:ascii="Calibri" w:hAnsi="Calibri"/>
          <w:sz w:val="22"/>
          <w:szCs w:val="22"/>
        </w:rPr>
      </w:pPr>
      <w:r>
        <w:rPr>
          <w:rFonts w:ascii="Calibri" w:hAnsi="Calibri"/>
          <w:sz w:val="22"/>
          <w:szCs w:val="22"/>
        </w:rPr>
        <w:t>Die SuS erkennen, dass die PBC  zur Nachfolge Jesu  aufrufen, um den Segen Gottes zu erhalten</w:t>
      </w:r>
    </w:p>
    <w:p>
      <w:pPr>
        <w:pStyle w:val="ListParagraph"/>
        <w:numPr>
          <w:ilvl w:val="0"/>
          <w:numId w:val="6"/>
        </w:numPr>
        <w:rPr>
          <w:rFonts w:ascii="Calibri" w:hAnsi="Calibri"/>
          <w:sz w:val="22"/>
          <w:szCs w:val="22"/>
        </w:rPr>
      </w:pPr>
      <w:r>
        <w:rPr>
          <w:rFonts w:ascii="Calibri" w:hAnsi="Calibri"/>
          <w:sz w:val="22"/>
          <w:szCs w:val="22"/>
        </w:rPr>
        <w:t>Die SuS ordnen die Verwendung eines einzelnen Bibelspruchs zur Untermauerung von Aussagen kritisch in die im Unterricht behandelten Rezeptionsmöglichkeiten biblischer Texte ein.</w:t>
      </w:r>
    </w:p>
    <w:p>
      <w:pPr>
        <w:pStyle w:val="Normal"/>
        <w:rPr>
          <w:rFonts w:ascii="Calibri" w:hAnsi="Calibri"/>
          <w:sz w:val="22"/>
          <w:szCs w:val="22"/>
        </w:rPr>
      </w:pPr>
      <w:r>
        <w:rPr>
          <w:rFonts w:ascii="Calibri" w:hAnsi="Calibri"/>
          <w:sz w:val="22"/>
          <w:szCs w:val="22"/>
        </w:rPr>
        <w:t>5. Zusammenfassende Reflexion mit Bewertung der Argumente und abschließende Stellungnahme einschließlich Handlungsanweisungen.</w:t>
      </w:r>
    </w:p>
    <w:p>
      <w:pPr>
        <w:pStyle w:val="ListParagraph"/>
        <w:numPr>
          <w:ilvl w:val="0"/>
          <w:numId w:val="7"/>
        </w:numPr>
        <w:rPr>
          <w:rFonts w:ascii="Calibri" w:hAnsi="Calibri"/>
          <w:sz w:val="22"/>
          <w:szCs w:val="22"/>
        </w:rPr>
      </w:pPr>
      <w:r>
        <w:rPr>
          <w:rFonts w:ascii="Calibri" w:hAnsi="Calibri"/>
          <w:sz w:val="22"/>
          <w:szCs w:val="22"/>
        </w:rPr>
        <w:t>Folgende Möglichkeiten als Reaktion gegenüber dem Mitschülers sind u.a. denkbar:</w:t>
      </w:r>
    </w:p>
    <w:p>
      <w:pPr>
        <w:pStyle w:val="ListParagraph"/>
        <w:numPr>
          <w:ilvl w:val="1"/>
          <w:numId w:val="7"/>
        </w:numPr>
        <w:rPr>
          <w:rFonts w:ascii="Calibri" w:hAnsi="Calibri"/>
          <w:sz w:val="22"/>
          <w:szCs w:val="22"/>
        </w:rPr>
      </w:pPr>
      <w:r>
        <w:rPr>
          <w:rFonts w:ascii="Calibri" w:hAnsi="Calibri"/>
          <w:sz w:val="22"/>
          <w:szCs w:val="22"/>
        </w:rPr>
        <w:t xml:space="preserve">Zustimmung: Hier könnte der Bewertungsschwerpunkt auf die Verwendung von Bibelzitaten im politischen Wahlkampf stehen oder aber auch eine  generelle Ablehnung einer religiös ausgerichteten Partei. </w:t>
      </w:r>
    </w:p>
    <w:p>
      <w:pPr>
        <w:pStyle w:val="ListParagraph"/>
        <w:numPr>
          <w:ilvl w:val="1"/>
          <w:numId w:val="7"/>
        </w:numPr>
        <w:rPr>
          <w:rFonts w:ascii="Calibri" w:hAnsi="Calibri"/>
          <w:sz w:val="22"/>
          <w:szCs w:val="22"/>
        </w:rPr>
      </w:pPr>
      <w:r>
        <w:rPr>
          <w:rFonts w:ascii="Calibri" w:hAnsi="Calibri"/>
          <w:sz w:val="22"/>
          <w:szCs w:val="22"/>
        </w:rPr>
        <w:t xml:space="preserve">Zustimmung: Die Hauptaussage des Plakats widerspricht dem religiösen Empfinden des Schülers und seinem Verständnis der Nachfolge Jesu. </w:t>
      </w:r>
    </w:p>
    <w:p>
      <w:pPr>
        <w:pStyle w:val="ListParagraph"/>
        <w:numPr>
          <w:ilvl w:val="0"/>
          <w:numId w:val="8"/>
        </w:numPr>
        <w:rPr>
          <w:rFonts w:ascii="Calibri" w:hAnsi="Calibri"/>
          <w:sz w:val="22"/>
          <w:szCs w:val="22"/>
        </w:rPr>
      </w:pPr>
      <w:r>
        <w:rPr>
          <w:rFonts w:ascii="Calibri" w:hAnsi="Calibri"/>
          <w:sz w:val="22"/>
          <w:szCs w:val="22"/>
        </w:rPr>
        <w:t>Contra: Hier könnten als Begründung die zahlreichen Bezüge des Grundgesetzes zu den zentralen Anliegen des Evangeliums angeführt, die besondere Rolle der Kirchen im politischen Diskurs und letztlich das Einstehen einzelner Politiker im Sinne der jesuanischen Ethik angeführt werden.</w:t>
      </w:r>
    </w:p>
    <w:p>
      <w:pPr>
        <w:pStyle w:val="Normal"/>
        <w:rPr>
          <w:rFonts w:ascii="Calibri" w:hAnsi="Calibri"/>
          <w:b/>
          <w:sz w:val="22"/>
          <w:szCs w:val="22"/>
        </w:rPr>
      </w:pPr>
      <w:r>
        <w:rPr>
          <w:rFonts w:ascii="Calibri" w:hAnsi="Calibri"/>
          <w:b/>
          <w:sz w:val="22"/>
          <w:szCs w:val="22"/>
        </w:rPr>
      </w:r>
    </w:p>
    <w:p>
      <w:pPr>
        <w:pStyle w:val="Normal"/>
        <w:rPr>
          <w:rFonts w:ascii="Calibri" w:hAnsi="Calibri"/>
          <w:b/>
          <w:sz w:val="22"/>
          <w:szCs w:val="22"/>
        </w:rPr>
      </w:pPr>
      <w:r>
        <w:rPr>
          <w:rFonts w:ascii="Calibri" w:hAnsi="Calibri"/>
          <w:b/>
          <w:sz w:val="22"/>
          <w:szCs w:val="22"/>
        </w:rPr>
        <w:t xml:space="preserve">Eine ausreichende  Leistung liegt vor, </w:t>
      </w:r>
    </w:p>
    <w:p>
      <w:pPr>
        <w:pStyle w:val="ListParagraph"/>
        <w:numPr>
          <w:ilvl w:val="0"/>
          <w:numId w:val="10"/>
        </w:numPr>
        <w:rPr>
          <w:rFonts w:ascii="Calibri" w:hAnsi="Calibri"/>
          <w:b/>
          <w:sz w:val="22"/>
          <w:szCs w:val="22"/>
        </w:rPr>
      </w:pPr>
      <w:r>
        <w:rPr>
          <w:rFonts w:ascii="Calibri" w:hAnsi="Calibri"/>
          <w:b/>
          <w:sz w:val="22"/>
          <w:szCs w:val="22"/>
        </w:rPr>
        <w:t>wenn die Schrittfolge vernachlässigt wird und eine weitestgehend unreflektierte sowie eine erhebliche Mängel in der Begründung aufweisende Stellungnahme vorliegt</w:t>
      </w:r>
    </w:p>
    <w:p>
      <w:pPr>
        <w:pStyle w:val="ListParagraph"/>
        <w:ind w:left="1440" w:right="0" w:hanging="0"/>
        <w:rPr>
          <w:rFonts w:ascii="Calibri" w:hAnsi="Calibri"/>
          <w:sz w:val="22"/>
          <w:szCs w:val="22"/>
        </w:rPr>
      </w:pPr>
      <w:r>
        <w:rPr>
          <w:rFonts w:ascii="Calibri" w:hAnsi="Calibri"/>
          <w:sz w:val="22"/>
          <w:szCs w:val="22"/>
        </w:rPr>
      </w:r>
    </w:p>
    <w:p>
      <w:pPr>
        <w:pStyle w:val="ListParagraph"/>
        <w:numPr>
          <w:ilvl w:val="0"/>
          <w:numId w:val="9"/>
        </w:numPr>
        <w:rPr>
          <w:rFonts w:ascii="Calibri" w:hAnsi="Calibri"/>
          <w:sz w:val="22"/>
          <w:szCs w:val="22"/>
        </w:rPr>
      </w:pPr>
      <w:r>
        <w:rPr>
          <w:rFonts w:ascii="Calibri" w:hAnsi="Calibri"/>
          <w:sz w:val="22"/>
          <w:szCs w:val="22"/>
        </w:rPr>
        <w:t>wenn elementare Gestaltungsmittel des Plakats nicht im Zusammenhang erläutert, aber erkannt werden.</w:t>
      </w:r>
    </w:p>
    <w:p>
      <w:pPr>
        <w:pStyle w:val="ListParagraph"/>
        <w:numPr>
          <w:ilvl w:val="0"/>
          <w:numId w:val="9"/>
        </w:numPr>
        <w:rPr>
          <w:rFonts w:ascii="Calibri" w:hAnsi="Calibri"/>
          <w:sz w:val="22"/>
          <w:szCs w:val="22"/>
        </w:rPr>
      </w:pPr>
      <w:r>
        <w:rPr>
          <w:rFonts w:ascii="Calibri" w:hAnsi="Calibri"/>
          <w:sz w:val="22"/>
          <w:szCs w:val="22"/>
        </w:rPr>
        <w:t>wenn der  Zusammenhang des Bibelverses mit der biblischen Überlieferung nicht hergestellt werden kann, aber auf  die Mixtur zwischen politischer  Aussagen und  Bibelwort hingewiesen wird.</w:t>
      </w:r>
    </w:p>
    <w:p>
      <w:pPr>
        <w:pStyle w:val="ListParagraph"/>
        <w:numPr>
          <w:ilvl w:val="0"/>
          <w:numId w:val="9"/>
        </w:numPr>
        <w:rPr>
          <w:rFonts w:ascii="Calibri" w:hAnsi="Calibri"/>
          <w:sz w:val="22"/>
          <w:szCs w:val="22"/>
        </w:rPr>
      </w:pPr>
      <w:r>
        <w:rPr>
          <w:rFonts w:ascii="Calibri" w:hAnsi="Calibri"/>
          <w:sz w:val="22"/>
          <w:szCs w:val="22"/>
        </w:rPr>
        <w:t>wenn eine einseitige und somit undifferenzierte, unkritische Ansammlung von ursprünglich richtigen Behauptungen  zur Aussage des Plakats vorgenommen  und damit eine  nicht hinreichend begründete Antwort gegeben wird.</w:t>
      </w:r>
    </w:p>
    <w:p>
      <w:pPr>
        <w:pStyle w:val="Normal"/>
        <w:rPr>
          <w:rFonts w:ascii="Calibri" w:hAnsi="Calibri"/>
          <w:sz w:val="22"/>
          <w:szCs w:val="22"/>
        </w:rPr>
      </w:pPr>
      <w:r>
        <w:rPr>
          <w:rFonts w:ascii="Calibri" w:hAnsi="Calibri"/>
          <w:sz w:val="22"/>
          <w:szCs w:val="22"/>
        </w:rPr>
      </w:r>
    </w:p>
    <w:p>
      <w:pPr>
        <w:pStyle w:val="Normal"/>
        <w:rPr>
          <w:rFonts w:ascii="Calibri" w:hAnsi="Calibri"/>
          <w:sz w:val="22"/>
          <w:szCs w:val="22"/>
        </w:rPr>
      </w:pPr>
      <w:r>
        <w:rPr>
          <w:rFonts w:ascii="Calibri" w:hAnsi="Calibri"/>
          <w:sz w:val="22"/>
          <w:szCs w:val="22"/>
        </w:rPr>
      </w:r>
    </w:p>
    <w:p>
      <w:pPr>
        <w:pStyle w:val="Normal"/>
        <w:spacing w:before="0" w:after="200"/>
        <w:rPr/>
      </w:pPr>
      <w:r>
        <w:rPr/>
      </w:r>
    </w:p>
    <w:sectPr>
      <w:type w:val="continuous"/>
      <w:pgSz w:w="11906" w:h="16838"/>
      <w:pgMar w:left="1417" w:right="1417" w:header="0" w:top="1417" w:footer="0" w:bottom="1134" w:gutter="0"/>
      <w:formProt w:val="false"/>
      <w:textDirection w:val="lrTb"/>
      <w:docGrid w:type="default" w:linePitch="360" w:charSpace="4294961151"/>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Tahoma">
    <w:charset w:val="00"/>
    <w:family w:val="roman"/>
    <w:pitch w:val="variable"/>
  </w:font>
  <w:font w:name="Liberation Sans">
    <w:altName w:val="Arial"/>
    <w:charset w:val="00"/>
    <w:family w:val="swiss"/>
    <w:pitch w:val="variable"/>
  </w:font>
  <w:font w:name="Calibri">
    <w:charset w:val="00"/>
    <w:family w:val="roman"/>
    <w:pitch w:val="variable"/>
  </w:font>
  <w:font w:name="Wingdings">
    <w:charset w:val="02"/>
    <w:family w:val="auto"/>
    <w:pitch w:val="variable"/>
  </w:font>
  <w:font w:name="Courier New">
    <w:charset w:val="01"/>
    <w:family w:val="modern"/>
    <w:pitch w:val="fixed"/>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lvl w:ilvl="0">
      <w:start w:val="1"/>
      <w:numFmt w:val="bullet"/>
      <w:lvlText w:val=""/>
      <w:lvlJc w:val="left"/>
      <w:pPr>
        <w:ind w:left="720" w:hanging="360"/>
      </w:pPr>
      <w:rPr>
        <w:rFonts w:ascii="Wingdings" w:hAnsi="Wingdings" w:cs="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4">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5">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6">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7">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8">
    <w:lvl w:ilvl="0">
      <w:start w:val="1"/>
      <w:numFmt w:val="bullet"/>
      <w:lvlText w:val="o"/>
      <w:lvlJc w:val="left"/>
      <w:pPr>
        <w:ind w:left="1440" w:hanging="360"/>
      </w:pPr>
      <w:rPr>
        <w:rFonts w:ascii="Courier New" w:hAnsi="Courier New" w:cs="Courier New"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cs="Wingdings" w:hint="default"/>
      </w:rPr>
    </w:lvl>
    <w:lvl w:ilvl="3">
      <w:start w:val="1"/>
      <w:numFmt w:val="bullet"/>
      <w:lvlText w:val=""/>
      <w:lvlJc w:val="left"/>
      <w:pPr>
        <w:ind w:left="3600" w:hanging="360"/>
      </w:pPr>
      <w:rPr>
        <w:rFonts w:ascii="Symbol" w:hAnsi="Symbol" w:cs="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cs="Wingdings" w:hint="default"/>
      </w:rPr>
    </w:lvl>
    <w:lvl w:ilvl="6">
      <w:start w:val="1"/>
      <w:numFmt w:val="bullet"/>
      <w:lvlText w:val=""/>
      <w:lvlJc w:val="left"/>
      <w:pPr>
        <w:ind w:left="5760" w:hanging="360"/>
      </w:pPr>
      <w:rPr>
        <w:rFonts w:ascii="Symbol" w:hAnsi="Symbol" w:cs="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cs="Wingdings" w:hint="default"/>
      </w:rPr>
    </w:lvl>
  </w:abstractNum>
  <w:abstractNum w:abstractNumId="9">
    <w:lvl w:ilvl="0">
      <w:start w:val="5"/>
      <w:numFmt w:val="bullet"/>
      <w:lvlText w:val=""/>
      <w:lvlJc w:val="left"/>
      <w:pPr>
        <w:ind w:left="1440" w:hanging="360"/>
      </w:pPr>
      <w:rPr>
        <w:rFonts w:ascii="Wingdings" w:hAnsi="Wingdings" w:cs="Wingdings"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cs="Wingdings" w:hint="default"/>
      </w:rPr>
    </w:lvl>
    <w:lvl w:ilvl="3">
      <w:start w:val="1"/>
      <w:numFmt w:val="bullet"/>
      <w:lvlText w:val=""/>
      <w:lvlJc w:val="left"/>
      <w:pPr>
        <w:ind w:left="3600" w:hanging="360"/>
      </w:pPr>
      <w:rPr>
        <w:rFonts w:ascii="Symbol" w:hAnsi="Symbol" w:cs="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cs="Wingdings" w:hint="default"/>
      </w:rPr>
    </w:lvl>
    <w:lvl w:ilvl="6">
      <w:start w:val="1"/>
      <w:numFmt w:val="bullet"/>
      <w:lvlText w:val=""/>
      <w:lvlJc w:val="left"/>
      <w:pPr>
        <w:ind w:left="5760" w:hanging="360"/>
      </w:pPr>
      <w:rPr>
        <w:rFonts w:ascii="Symbol" w:hAnsi="Symbol" w:cs="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cs="Wingdings" w:hint="default"/>
      </w:rPr>
    </w:lvl>
  </w:abstractNum>
  <w:abstractNum w:abstractNumId="10">
    <w:lvl w:ilvl="0">
      <w:start w:val="5"/>
      <w:numFmt w:val="bullet"/>
      <w:lvlText w:val=""/>
      <w:lvlJc w:val="left"/>
      <w:pPr>
        <w:ind w:left="1440" w:hanging="360"/>
      </w:pPr>
      <w:rPr>
        <w:rFonts w:ascii="Wingdings" w:hAnsi="Wingdings" w:cs="Wingdings"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cs="Wingdings" w:hint="default"/>
      </w:rPr>
    </w:lvl>
    <w:lvl w:ilvl="3">
      <w:start w:val="1"/>
      <w:numFmt w:val="bullet"/>
      <w:lvlText w:val=""/>
      <w:lvlJc w:val="left"/>
      <w:pPr>
        <w:ind w:left="3600" w:hanging="360"/>
      </w:pPr>
      <w:rPr>
        <w:rFonts w:ascii="Symbol" w:hAnsi="Symbol" w:cs="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cs="Wingdings" w:hint="default"/>
      </w:rPr>
    </w:lvl>
    <w:lvl w:ilvl="6">
      <w:start w:val="1"/>
      <w:numFmt w:val="bullet"/>
      <w:lvlText w:val=""/>
      <w:lvlJc w:val="left"/>
      <w:pPr>
        <w:ind w:left="5760" w:hanging="360"/>
      </w:pPr>
      <w:rPr>
        <w:rFonts w:ascii="Symbol" w:hAnsi="Symbol" w:cs="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cs="Wingdings" w:hint="default"/>
      </w:rPr>
    </w:lvl>
  </w:abstractNum>
  <w:abstractNum w:abstractNumId="11">
    <w:lvl w:ilvl="0">
      <w:start w:val="5"/>
      <w:numFmt w:val="bullet"/>
      <w:lvlText w:val=""/>
      <w:lvlJc w:val="left"/>
      <w:pPr>
        <w:ind w:left="720" w:hanging="360"/>
      </w:pPr>
      <w:rPr>
        <w:rFonts w:ascii="Wingdings" w:hAnsi="Wingdings" w:cs="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2">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3">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w="http://schemas.openxmlformats.org/wordprocessingml/2006/main">
  <w:zoom w:percent="148"/>
  <w:defaultTabStop w:val="709"/>
</w:settings>
</file>

<file path=word/styles.xml><?xml version="1.0" encoding="utf-8"?>
<w:styles xmlns:w="http://schemas.openxmlformats.org/wordprocessingml/2006/main">
  <w:docDefaults>
    <w:rPrDefault>
      <w:rPr>
        <w:rFonts w:ascii="Liberation Serif" w:hAnsi="Liberation Serif" w:eastAsia="SimSun" w:cs="Mangal"/>
        <w:sz w:val="24"/>
        <w:szCs w:val="24"/>
        <w:lang w:val="de-DE" w:eastAsia="zh-CN" w:bidi="hi-IN"/>
      </w:rPr>
    </w:rPrDefault>
    <w:pPrDefault>
      <w:pPr>
        <w:spacing w:lineRule="auto" w:line="276"/>
      </w:pPr>
    </w:pPrDefault>
  </w:docDefaults>
  <w:latentStyles w:count="267" w:defQFormat="0" w:defUnhideWhenUsed="1" w:defSemiHidden="1" w:defUIPriority="99" w:defLockedState="0">
    <w:lsdException w:qFormat="1" w:unhideWhenUsed="0" w:semiHidden="0" w:uiPriority="0" w:name="Normal"/>
    <w:lsdException w:qFormat="1" w:unhideWhenUsed="0" w:semiHidden="0" w:uiPriority="9"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iPriority="35" w:name="caption"/>
    <w:lsdException w:qFormat="1" w:unhideWhenUsed="0" w:semiHidden="0" w:uiPriority="10" w:name="Title"/>
    <w:lsdException w:uiPriority="1" w:name="Default Paragraph Font"/>
    <w:lsdException w:qFormat="1" w:unhideWhenUsed="0" w:semiHidden="0" w:uiPriority="11" w:name="Subtitle"/>
    <w:lsdException w:qFormat="1" w:unhideWhenUsed="0" w:semiHidden="0" w:uiPriority="22" w:name="Strong"/>
    <w:lsdException w:qFormat="1" w:unhideWhenUsed="0" w:semiHidden="0" w:uiPriority="20" w:name="Emphasis"/>
    <w:lsdException w:unhideWhenUsed="0" w:semiHidden="0" w:uiPriority="59" w:name="Table Grid"/>
    <w:lsdException w:unhideWhenUsed="0" w:name="Placeholder Text"/>
    <w:lsdException w:qFormat="1" w:unhideWhenUsed="0" w:semiHidden="0" w:uiPriority="1" w:name="No Spacing"/>
    <w:lsdException w:unhideWhenUsed="0" w:semiHidden="0" w:uiPriority="60" w:name="Light Shading"/>
    <w:lsdException w:unhideWhenUsed="0" w:semiHidden="0" w:uiPriority="61" w:name="Light List"/>
    <w:lsdException w:unhideWhenUsed="0" w:semiHidden="0" w:uiPriority="62" w:name="Light Grid"/>
    <w:lsdException w:unhideWhenUsed="0" w:semiHidden="0" w:uiPriority="63" w:name="Medium Shading 1"/>
    <w:lsdException w:unhideWhenUsed="0" w:semiHidden="0" w:uiPriority="64" w:name="Medium Shading 2"/>
    <w:lsdException w:unhideWhenUsed="0" w:semiHidden="0" w:uiPriority="65" w:name="Medium List 1"/>
    <w:lsdException w:unhideWhenUsed="0" w:semiHidden="0" w:uiPriority="66" w:name="Medium List 2"/>
    <w:lsdException w:unhideWhenUsed="0" w:semiHidden="0" w:uiPriority="67" w:name="Medium Grid 1"/>
    <w:lsdException w:unhideWhenUsed="0" w:semiHidden="0" w:uiPriority="68" w:name="Medium Grid 2"/>
    <w:lsdException w:unhideWhenUsed="0" w:semiHidden="0" w:uiPriority="69" w:name="Medium Grid 3"/>
    <w:lsdException w:unhideWhenUsed="0" w:semiHidden="0" w:uiPriority="70" w:name="Dark List"/>
    <w:lsdException w:unhideWhenUsed="0" w:semiHidden="0" w:uiPriority="71" w:name="Colorful Shading"/>
    <w:lsdException w:unhideWhenUsed="0" w:semiHidden="0" w:uiPriority="72" w:name="Colorful List"/>
    <w:lsdException w:unhideWhenUsed="0" w:semiHidden="0" w:uiPriority="73" w:name="Colorful Grid"/>
    <w:lsdException w:unhideWhenUsed="0" w:semiHidden="0" w:uiPriority="60" w:name="Light Shading Accent 1"/>
    <w:lsdException w:unhideWhenUsed="0" w:semiHidden="0" w:uiPriority="61" w:name="Light List Accent 1"/>
    <w:lsdException w:unhideWhenUsed="0" w:semiHidden="0" w:uiPriority="62" w:name="Light Grid Accent 1"/>
    <w:lsdException w:unhideWhenUsed="0" w:semiHidden="0" w:uiPriority="63" w:name="Medium Shading 1 Accent 1"/>
    <w:lsdException w:unhideWhenUsed="0" w:semiHidden="0" w:uiPriority="64" w:name="Medium Shading 2 Accent 1"/>
    <w:lsdException w:unhideWhenUsed="0" w:semiHidden="0" w:uiPriority="65" w:name="Medium List 1 Accent 1"/>
    <w:lsdException w:unhideWhenUsed="0" w:name="Revision"/>
    <w:lsdException w:qFormat="1" w:unhideWhenUsed="0" w:semiHidden="0" w:uiPriority="34" w:name="List Paragraph"/>
    <w:lsdException w:qFormat="1" w:unhideWhenUsed="0" w:semiHidden="0" w:uiPriority="29" w:name="Quote"/>
    <w:lsdException w:qFormat="1" w:unhideWhenUsed="0" w:semiHidden="0" w:uiPriority="30" w:name="Intense Quote"/>
    <w:lsdException w:unhideWhenUsed="0" w:semiHidden="0" w:uiPriority="66" w:name="Medium List 2 Accent 1"/>
    <w:lsdException w:unhideWhenUsed="0" w:semiHidden="0" w:uiPriority="67" w:name="Medium Grid 1 Accent 1"/>
    <w:lsdException w:unhideWhenUsed="0" w:semiHidden="0" w:uiPriority="68" w:name="Medium Grid 2 Accent 1"/>
    <w:lsdException w:unhideWhenUsed="0" w:semiHidden="0" w:uiPriority="69" w:name="Medium Grid 3 Accent 1"/>
    <w:lsdException w:unhideWhenUsed="0" w:semiHidden="0" w:uiPriority="70" w:name="Dark List Accent 1"/>
    <w:lsdException w:unhideWhenUsed="0" w:semiHidden="0" w:uiPriority="71" w:name="Colorful Shading Accent 1"/>
    <w:lsdException w:unhideWhenUsed="0" w:semiHidden="0" w:uiPriority="72" w:name="Colorful List Accent 1"/>
    <w:lsdException w:unhideWhenUsed="0" w:semiHidden="0" w:uiPriority="73" w:name="Colorful Grid Accent 1"/>
    <w:lsdException w:unhideWhenUsed="0" w:semiHidden="0" w:uiPriority="60" w:name="Light Shading Accent 2"/>
    <w:lsdException w:unhideWhenUsed="0" w:semiHidden="0" w:uiPriority="61" w:name="Light List Accent 2"/>
    <w:lsdException w:unhideWhenUsed="0" w:semiHidden="0" w:uiPriority="62" w:name="Light Grid Accent 2"/>
    <w:lsdException w:unhideWhenUsed="0" w:semiHidden="0" w:uiPriority="63" w:name="Medium Shading 1 Accent 2"/>
    <w:lsdException w:unhideWhenUsed="0" w:semiHidden="0" w:uiPriority="64" w:name="Medium Shading 2 Accent 2"/>
    <w:lsdException w:unhideWhenUsed="0" w:semiHidden="0" w:uiPriority="65" w:name="Medium List 1 Accent 2"/>
    <w:lsdException w:unhideWhenUsed="0" w:semiHidden="0" w:uiPriority="66" w:name="Medium List 2 Accent 2"/>
    <w:lsdException w:unhideWhenUsed="0" w:semiHidden="0" w:uiPriority="67" w:name="Medium Grid 1 Accent 2"/>
    <w:lsdException w:unhideWhenUsed="0" w:semiHidden="0" w:uiPriority="68" w:name="Medium Grid 2 Accent 2"/>
    <w:lsdException w:unhideWhenUsed="0" w:semiHidden="0" w:uiPriority="69" w:name="Medium Grid 3 Accent 2"/>
    <w:lsdException w:unhideWhenUsed="0" w:semiHidden="0" w:uiPriority="70" w:name="Dark List Accent 2"/>
    <w:lsdException w:unhideWhenUsed="0" w:semiHidden="0" w:uiPriority="71" w:name="Colorful Shading Accent 2"/>
    <w:lsdException w:unhideWhenUsed="0" w:semiHidden="0" w:uiPriority="72" w:name="Colorful List Accent 2"/>
    <w:lsdException w:unhideWhenUsed="0" w:semiHidden="0" w:uiPriority="73" w:name="Colorful Grid Accent 2"/>
    <w:lsdException w:unhideWhenUsed="0" w:semiHidden="0" w:uiPriority="60" w:name="Light Shading Accent 3"/>
    <w:lsdException w:unhideWhenUsed="0" w:semiHidden="0" w:uiPriority="61" w:name="Light List Accent 3"/>
    <w:lsdException w:unhideWhenUsed="0" w:semiHidden="0" w:uiPriority="62" w:name="Light Grid Accent 3"/>
    <w:lsdException w:unhideWhenUsed="0" w:semiHidden="0" w:uiPriority="63" w:name="Medium Shading 1 Accent 3"/>
    <w:lsdException w:unhideWhenUsed="0" w:semiHidden="0" w:uiPriority="64" w:name="Medium Shading 2 Accent 3"/>
    <w:lsdException w:unhideWhenUsed="0" w:semiHidden="0" w:uiPriority="65" w:name="Medium List 1 Accent 3"/>
    <w:lsdException w:unhideWhenUsed="0" w:semiHidden="0" w:uiPriority="66" w:name="Medium List 2 Accent 3"/>
    <w:lsdException w:unhideWhenUsed="0" w:semiHidden="0" w:uiPriority="67" w:name="Medium Grid 1 Accent 3"/>
    <w:lsdException w:unhideWhenUsed="0" w:semiHidden="0" w:uiPriority="68" w:name="Medium Grid 2 Accent 3"/>
    <w:lsdException w:unhideWhenUsed="0" w:semiHidden="0" w:uiPriority="69" w:name="Medium Grid 3 Accent 3"/>
    <w:lsdException w:unhideWhenUsed="0" w:semiHidden="0" w:uiPriority="70" w:name="Dark List Accent 3"/>
    <w:lsdException w:unhideWhenUsed="0" w:semiHidden="0" w:uiPriority="71" w:name="Colorful Shading Accent 3"/>
    <w:lsdException w:unhideWhenUsed="0" w:semiHidden="0" w:uiPriority="72" w:name="Colorful List Accent 3"/>
    <w:lsdException w:unhideWhenUsed="0" w:semiHidden="0" w:uiPriority="73" w:name="Colorful Grid Accent 3"/>
    <w:lsdException w:unhideWhenUsed="0" w:semiHidden="0" w:uiPriority="60" w:name="Light Shading Accent 4"/>
    <w:lsdException w:unhideWhenUsed="0" w:semiHidden="0" w:uiPriority="61" w:name="Light List Accent 4"/>
    <w:lsdException w:unhideWhenUsed="0" w:semiHidden="0" w:uiPriority="62" w:name="Light Grid Accent 4"/>
    <w:lsdException w:unhideWhenUsed="0" w:semiHidden="0" w:uiPriority="63" w:name="Medium Shading 1 Accent 4"/>
    <w:lsdException w:unhideWhenUsed="0" w:semiHidden="0" w:uiPriority="64" w:name="Medium Shading 2 Accent 4"/>
    <w:lsdException w:unhideWhenUsed="0" w:semiHidden="0" w:uiPriority="65" w:name="Medium List 1 Accent 4"/>
    <w:lsdException w:unhideWhenUsed="0" w:semiHidden="0" w:uiPriority="66" w:name="Medium List 2 Accent 4"/>
    <w:lsdException w:unhideWhenUsed="0" w:semiHidden="0" w:uiPriority="67" w:name="Medium Grid 1 Accent 4"/>
    <w:lsdException w:unhideWhenUsed="0" w:semiHidden="0" w:uiPriority="68" w:name="Medium Grid 2 Accent 4"/>
    <w:lsdException w:unhideWhenUsed="0" w:semiHidden="0" w:uiPriority="69" w:name="Medium Grid 3 Accent 4"/>
    <w:lsdException w:unhideWhenUsed="0" w:semiHidden="0" w:uiPriority="70" w:name="Dark List Accent 4"/>
    <w:lsdException w:unhideWhenUsed="0" w:semiHidden="0" w:uiPriority="71" w:name="Colorful Shading Accent 4"/>
    <w:lsdException w:unhideWhenUsed="0" w:semiHidden="0" w:uiPriority="72" w:name="Colorful List Accent 4"/>
    <w:lsdException w:unhideWhenUsed="0" w:semiHidden="0" w:uiPriority="73" w:name="Colorful Grid Accent 4"/>
    <w:lsdException w:unhideWhenUsed="0" w:semiHidden="0" w:uiPriority="60" w:name="Light Shading Accent 5"/>
    <w:lsdException w:unhideWhenUsed="0" w:semiHidden="0" w:uiPriority="61" w:name="Light List Accent 5"/>
    <w:lsdException w:unhideWhenUsed="0" w:semiHidden="0" w:uiPriority="62" w:name="Light Grid Accent 5"/>
    <w:lsdException w:unhideWhenUsed="0" w:semiHidden="0" w:uiPriority="63" w:name="Medium Shading 1 Accent 5"/>
    <w:lsdException w:unhideWhenUsed="0" w:semiHidden="0" w:uiPriority="64" w:name="Medium Shading 2 Accent 5"/>
    <w:lsdException w:unhideWhenUsed="0" w:semiHidden="0" w:uiPriority="65" w:name="Medium List 1 Accent 5"/>
    <w:lsdException w:unhideWhenUsed="0" w:semiHidden="0" w:uiPriority="66" w:name="Medium List 2 Accent 5"/>
    <w:lsdException w:unhideWhenUsed="0" w:semiHidden="0" w:uiPriority="67" w:name="Medium Grid 1 Accent 5"/>
    <w:lsdException w:unhideWhenUsed="0" w:semiHidden="0" w:uiPriority="68" w:name="Medium Grid 2 Accent 5"/>
    <w:lsdException w:unhideWhenUsed="0" w:semiHidden="0" w:uiPriority="69" w:name="Medium Grid 3 Accent 5"/>
    <w:lsdException w:unhideWhenUsed="0" w:semiHidden="0" w:uiPriority="70" w:name="Dark List Accent 5"/>
    <w:lsdException w:unhideWhenUsed="0" w:semiHidden="0" w:uiPriority="71" w:name="Colorful Shading Accent 5"/>
    <w:lsdException w:unhideWhenUsed="0" w:semiHidden="0" w:uiPriority="72" w:name="Colorful List Accent 5"/>
    <w:lsdException w:unhideWhenUsed="0" w:semiHidden="0" w:uiPriority="73" w:name="Colorful Grid Accent 5"/>
    <w:lsdException w:unhideWhenUsed="0" w:semiHidden="0" w:uiPriority="60" w:name="Light Shading Accent 6"/>
    <w:lsdException w:unhideWhenUsed="0" w:semiHidden="0" w:uiPriority="61" w:name="Light List Accent 6"/>
    <w:lsdException w:unhideWhenUsed="0" w:semiHidden="0" w:uiPriority="62" w:name="Light Grid Accent 6"/>
    <w:lsdException w:unhideWhenUsed="0" w:semiHidden="0" w:uiPriority="63" w:name="Medium Shading 1 Accent 6"/>
    <w:lsdException w:unhideWhenUsed="0" w:semiHidden="0" w:uiPriority="64" w:name="Medium Shading 2 Accent 6"/>
    <w:lsdException w:unhideWhenUsed="0" w:semiHidden="0" w:uiPriority="65" w:name="Medium List 1 Accent 6"/>
    <w:lsdException w:unhideWhenUsed="0" w:semiHidden="0" w:uiPriority="66" w:name="Medium List 2 Accent 6"/>
    <w:lsdException w:unhideWhenUsed="0" w:semiHidden="0" w:uiPriority="67" w:name="Medium Grid 1 Accent 6"/>
    <w:lsdException w:unhideWhenUsed="0" w:semiHidden="0" w:uiPriority="68" w:name="Medium Grid 2 Accent 6"/>
    <w:lsdException w:unhideWhenUsed="0" w:semiHidden="0" w:uiPriority="69" w:name="Medium Grid 3 Accent 6"/>
    <w:lsdException w:unhideWhenUsed="0" w:semiHidden="0" w:uiPriority="70" w:name="Dark List Accent 6"/>
    <w:lsdException w:unhideWhenUsed="0" w:semiHidden="0" w:uiPriority="71" w:name="Colorful Shading Accent 6"/>
    <w:lsdException w:unhideWhenUsed="0" w:semiHidden="0" w:uiPriority="72" w:name="Colorful List Accent 6"/>
    <w:lsdException w:unhideWhenUsed="0" w:semiHidden="0" w:uiPriority="73" w:name="Colorful Grid Accent 6"/>
    <w:lsdException w:qFormat="1" w:unhideWhenUsed="0" w:semiHidden="0" w:uiPriority="19" w:name="Subtle Emphasis"/>
    <w:lsdException w:qFormat="1" w:unhideWhenUsed="0" w:semiHidden="0" w:uiPriority="21" w:name="Intense Emphasis"/>
    <w:lsdException w:qFormat="1" w:unhideWhenUsed="0" w:semiHidden="0" w:uiPriority="31" w:name="Subtle Reference"/>
    <w:lsdException w:qFormat="1" w:unhideWhenUsed="0" w:semiHidden="0" w:uiPriority="32" w:name="Intense Reference"/>
    <w:lsdException w:qFormat="1" w:unhideWhenUsed="0" w:semiHidden="0" w:uiPriority="33" w:name="Book Title"/>
    <w:lsdException w:uiPriority="37" w:name="Bibliography"/>
    <w:lsdException w:qFormat="1" w:uiPriority="39" w:name="TOC Heading"/>
  </w:latentStyles>
  <w:style w:type="paragraph" w:styleId="Normal" w:default="1">
    <w:name w:val="Normal"/>
    <w:qFormat/>
    <w:rsid w:val="002a021b"/>
    <w:pPr>
      <w:widowControl/>
      <w:suppressAutoHyphens w:val="true"/>
      <w:bidi w:val="0"/>
      <w:spacing w:before="0" w:after="200" w:lineRule="auto" w:line="276"/>
      <w:jc w:val="left"/>
    </w:pPr>
    <w:rPr>
      <w:rFonts w:ascii="Liberation Serif" w:hAnsi="Liberation Serif" w:eastAsia="SimSun" w:cs="Mangal"/>
      <w:color w:val="auto"/>
      <w:sz w:val="24"/>
      <w:szCs w:val="24"/>
      <w:lang w:val="de-DE" w:eastAsia="zh-CN" w:bidi="hi-IN"/>
    </w:rPr>
  </w:style>
  <w:style w:type="character" w:styleId="DefaultParagraphFont" w:default="1">
    <w:name w:val="Default Paragraph Font"/>
    <w:uiPriority w:val="1"/>
    <w:semiHidden/>
    <w:unhideWhenUsed/>
    <w:rPr/>
  </w:style>
  <w:style w:type="character" w:styleId="Linenumber">
    <w:name w:val="line number"/>
    <w:uiPriority w:val="99"/>
    <w:semiHidden/>
    <w:unhideWhenUsed/>
    <w:rsid w:val="00727cb9"/>
    <w:basedOn w:val="DefaultParagraphFont"/>
    <w:rPr/>
  </w:style>
  <w:style w:type="character" w:styleId="SprechblasentextZchn" w:customStyle="1">
    <w:name w:val="Sprechblasentext Zchn"/>
    <w:uiPriority w:val="99"/>
    <w:semiHidden/>
    <w:link w:val="Sprechblasentext"/>
    <w:rsid w:val="00f97a06"/>
    <w:basedOn w:val="DefaultParagraphFont"/>
    <w:rPr>
      <w:rFonts w:ascii="Tahoma" w:hAnsi="Tahoma" w:cs="Tahoma"/>
      <w:sz w:val="16"/>
      <w:szCs w:val="16"/>
    </w:rPr>
  </w:style>
  <w:style w:type="character" w:styleId="ListLabel1" w:customStyle="1">
    <w:name w:val="ListLabel 1"/>
    <w:rsid w:val="00392c1f"/>
    <w:rPr>
      <w:rFonts w:cs="Calibri"/>
    </w:rPr>
  </w:style>
  <w:style w:type="character" w:styleId="ListLabel2" w:customStyle="1">
    <w:name w:val="ListLabel 2"/>
    <w:rsid w:val="00392c1f"/>
    <w:rPr>
      <w:rFonts w:cs="Courier New"/>
    </w:rPr>
  </w:style>
  <w:style w:type="character" w:styleId="Funotenanker" w:customStyle="1">
    <w:name w:val="Fußnotenanker"/>
    <w:rsid w:val="00392c1f"/>
    <w:rPr>
      <w:vertAlign w:val="superscript"/>
    </w:rPr>
  </w:style>
  <w:style w:type="character" w:styleId="Footnotereference">
    <w:name w:val="footnote reference"/>
    <w:rsid w:val="00392c1f"/>
    <w:basedOn w:val="DefaultParagraphFont"/>
    <w:rPr>
      <w:vertAlign w:val="superscript"/>
    </w:rPr>
  </w:style>
  <w:style w:type="character" w:styleId="Zeilennummerierung" w:customStyle="1">
    <w:name w:val="Zeilennummerierung"/>
    <w:rsid w:val="00392c1f"/>
    <w:rPr/>
  </w:style>
  <w:style w:type="character" w:styleId="FunotentextZchn" w:customStyle="1">
    <w:name w:val="Fußnotentext Zchn"/>
    <w:rsid w:val="00392c1f"/>
    <w:basedOn w:val="DefaultParagraphFont"/>
    <w:rPr>
      <w:sz w:val="20"/>
      <w:szCs w:val="20"/>
    </w:rPr>
  </w:style>
  <w:style w:type="character" w:styleId="ListLabel3">
    <w:name w:val="ListLabel 3"/>
    <w:rPr>
      <w:rFonts w:cs="Wingdings"/>
    </w:rPr>
  </w:style>
  <w:style w:type="character" w:styleId="ListLabel4">
    <w:name w:val="ListLabel 4"/>
    <w:rPr>
      <w:rFonts w:cs="Courier New"/>
    </w:rPr>
  </w:style>
  <w:style w:type="character" w:styleId="ListLabel5">
    <w:name w:val="ListLabel 5"/>
    <w:rPr>
      <w:rFonts w:cs="Symbol"/>
    </w:rPr>
  </w:style>
  <w:style w:type="paragraph" w:styleId="Berschrift" w:customStyle="1">
    <w:name w:val="Überschrift"/>
    <w:rsid w:val="00392c1f"/>
    <w:basedOn w:val="Normal"/>
    <w:next w:val="Textkrper"/>
    <w:pPr>
      <w:keepNext/>
      <w:spacing w:before="240" w:after="120"/>
    </w:pPr>
    <w:rPr>
      <w:rFonts w:ascii="Liberation Sans" w:hAnsi="Liberation Sans" w:eastAsia="Microsoft YaHei" w:cs="Mangal"/>
      <w:sz w:val="28"/>
      <w:szCs w:val="28"/>
    </w:rPr>
  </w:style>
  <w:style w:type="paragraph" w:styleId="Textkrper">
    <w:name w:val="Textkörper"/>
    <w:rsid w:val="00392c1f"/>
    <w:basedOn w:val="Normal"/>
    <w:pPr>
      <w:spacing w:lineRule="auto" w:line="288" w:before="0" w:after="140"/>
    </w:pPr>
    <w:rPr/>
  </w:style>
  <w:style w:type="paragraph" w:styleId="Liste">
    <w:name w:val="Liste"/>
    <w:rsid w:val="00392c1f"/>
    <w:basedOn w:val="Textkrper"/>
    <w:pPr/>
    <w:rPr>
      <w:rFonts w:cs="Mangal"/>
    </w:rPr>
  </w:style>
  <w:style w:type="paragraph" w:styleId="Beschriftung">
    <w:name w:val="Beschriftung"/>
    <w:basedOn w:val="Normal"/>
    <w:pPr>
      <w:suppressLineNumbers/>
      <w:spacing w:before="120" w:after="120"/>
    </w:pPr>
    <w:rPr>
      <w:rFonts w:cs="Mangal"/>
      <w:i/>
      <w:iCs/>
      <w:sz w:val="24"/>
      <w:szCs w:val="24"/>
    </w:rPr>
  </w:style>
  <w:style w:type="paragraph" w:styleId="Verzeichnis" w:customStyle="1">
    <w:name w:val="Verzeichnis"/>
    <w:rsid w:val="00392c1f"/>
    <w:basedOn w:val="Normal"/>
    <w:pPr>
      <w:suppressLineNumbers/>
    </w:pPr>
    <w:rPr>
      <w:rFonts w:cs="Mangal"/>
    </w:rPr>
  </w:style>
  <w:style w:type="paragraph" w:styleId="Caption">
    <w:name w:val="caption"/>
    <w:rsid w:val="00392c1f"/>
    <w:basedOn w:val="Normal"/>
    <w:pPr>
      <w:suppressLineNumbers/>
      <w:spacing w:before="120" w:after="120"/>
    </w:pPr>
    <w:rPr>
      <w:i/>
      <w:iCs/>
    </w:rPr>
  </w:style>
  <w:style w:type="paragraph" w:styleId="ListParagraph">
    <w:name w:val="List Paragraph"/>
    <w:uiPriority w:val="34"/>
    <w:qFormat/>
    <w:rsid w:val="0046684e"/>
    <w:basedOn w:val="Normal"/>
    <w:pPr>
      <w:spacing w:before="0" w:after="200"/>
      <w:ind w:left="720" w:right="0" w:hanging="0"/>
      <w:contextualSpacing/>
    </w:pPr>
    <w:rPr/>
  </w:style>
  <w:style w:type="paragraph" w:styleId="BalloonText">
    <w:name w:val="Balloon Text"/>
    <w:uiPriority w:val="99"/>
    <w:semiHidden/>
    <w:unhideWhenUsed/>
    <w:link w:val="SprechblasentextZchn"/>
    <w:rsid w:val="00f97a06"/>
    <w:basedOn w:val="Normal"/>
    <w:pPr>
      <w:spacing w:lineRule="auto" w:line="240" w:before="0" w:after="0"/>
    </w:pPr>
    <w:rPr>
      <w:rFonts w:ascii="Tahoma" w:hAnsi="Tahoma" w:cs="Tahoma"/>
      <w:sz w:val="16"/>
      <w:szCs w:val="16"/>
    </w:rPr>
  </w:style>
  <w:style w:type="paragraph" w:styleId="Rahmeninhalt" w:customStyle="1">
    <w:name w:val="Rahmeninhalt"/>
    <w:rsid w:val="00392c1f"/>
    <w:basedOn w:val="Normal"/>
    <w:pPr/>
    <w:rPr/>
  </w:style>
  <w:style w:type="paragraph" w:styleId="Funote" w:customStyle="1">
    <w:name w:val="Fußnote"/>
    <w:rsid w:val="00392c1f"/>
    <w:basedOn w:val="Normal"/>
    <w:pPr/>
    <w:rPr/>
  </w:style>
  <w:style w:type="paragraph" w:styleId="Footnotetext">
    <w:name w:val="footnote text"/>
    <w:rsid w:val="00392c1f"/>
    <w:basedOn w:val="Normal"/>
    <w:pPr>
      <w:spacing w:lineRule="auto" w:line="240" w:before="0" w:after="0"/>
    </w:pPr>
    <w:rPr>
      <w:sz w:val="20"/>
      <w:szCs w:val="20"/>
    </w:rPr>
  </w:style>
  <w:style w:type="numbering" w:styleId="NoList" w:default="1">
    <w:name w:val="No List"/>
    <w:uiPriority w:val="99"/>
    <w:semiHidden/>
    <w:unhideWhenUsed/>
  </w:style>
  <w:style w:type="table" w:default="1" w:styleId="NormaleTabelle">
    <w:name w:val="Normal Table"/>
    <w:uiPriority w:val="99"/>
    <w:qFormat/>
    <w:semiHidden/>
    <w:unhideWhenUsed/>
    <w:tblPr>
      <w:tblInd w:type="dxa" w:w="0"/>
      <w:tblCellMar>
        <w:top w:w="0" w:type="dxa"/>
        <w:left w:w="108" w:type="dxa"/>
        <w:bottom w:w="0" w:type="dxa"/>
        <w:right w:w="108" w:type="dxa"/>
      </w:tblCellMar>
    </w:tblPr>
  </w:style>
  <w:style w:type="table" w:styleId="Tabellengitternetz">
    <w:name w:val="Table Grid"/>
    <w:basedOn w:val="NormaleTabelle"/>
    <w:uiPriority w:val="59"/>
    <w:rsid w:val="000e74cd"/>
    <w:pPr>
      <w:spacing w:line="240" w:lineRule="auto"/>
    </w:pPr>
    <w:tblPr>
      <w:tblInd w:type="dxa" w:w="0"/>
      <w:tblBorders>
        <w:top w:space="0" w:sz="4" w:themeColor="text1" w:color="000000" w:val="single"/>
        <w:left w:space="0" w:sz="4" w:themeColor="text1" w:color="000000" w:val="single"/>
        <w:bottom w:space="0" w:sz="4" w:themeColor="text1" w:color="000000" w:val="single"/>
        <w:right w:space="0" w:sz="4" w:themeColor="text1" w:color="000000" w:val="single"/>
        <w:insideH w:space="0" w:sz="4" w:themeColor="text1" w:color="000000" w:val="single"/>
        <w:insideV w:space="0" w:sz="4" w:themeColor="text1" w:color="000000" w:val="single"/>
      </w:tblBorders>
      <w:tblCellMar>
        <w:top w:w="0" w:type="dxa"/>
        <w:left w:w="108" w:type="dxa"/>
        <w:bottom w:w="0" w:type="dxa"/>
        <w:right w:w="108" w:type="dxa"/>
      </w:tblCellMar>
    </w:tblPr>
  </w:style>
  <w:style w:type="table" w:styleId="HelleSchattierung">
    <w:name w:val="Light Shading"/>
    <w:basedOn w:val="NormaleTabelle"/>
    <w:uiPriority w:val="60"/>
    <w:rsid w:val="000e74cd"/>
    <w:pPr>
      <w:spacing w:line="240" w:lineRule="auto"/>
    </w:pPr>
    <w:rPr>
      <w:color w:themeShade="bf" w:themeColor="text1" w:val="000000"/>
    </w:rPr>
    <w:tblPr>
      <w:tblStyleRowBandSize w:val="1"/>
      <w:tblStyleColBandSize w:val="1"/>
      <w:tblInd w:type="dxa" w:w="0"/>
      <w:tblBorders>
        <w:top w:space="0" w:sz="8" w:themeColor="text1" w:color="000000" w:val="single"/>
        <w:bottom w:space="0" w:sz="8" w:themeColor="text1" w:color="000000" w:val="single"/>
      </w:tblBorders>
      <w:tblCellMar>
        <w:top w:w="0" w:type="dxa"/>
        <w:left w:w="108" w:type="dxa"/>
        <w:bottom w:w="0" w:type="dxa"/>
        <w:right w:w="108" w:type="dxa"/>
      </w:tblCellMar>
    </w:tblPr>
    <w:tblStylePr w:type="firstRow">
      <w:pPr>
        <w:spacing w:line="240" w:lineRule="auto" w:after="0" w:before="0"/>
      </w:pPr>
      <w:rPr>
        <w:b/>
        <w:bCs/>
      </w:rPr>
      <w:tblPr/>
      <w:tcPr>
        <w:tcBorders>
          <w:top w:space="0" w:sz="8" w:themeColor="text1" w:color="000000" w:val="single"/>
          <w:left w:val="nil"/>
          <w:bottom w:space="0" w:sz="8" w:themeColor="text1" w:color="000000" w:val="single"/>
          <w:right w:val="nil"/>
          <w:insideH w:val="nil"/>
          <w:insideV w:val="nil"/>
        </w:tcBorders>
      </w:tcPr>
    </w:tblStylePr>
    <w:tblStylePr w:type="lastRow">
      <w:pPr>
        <w:spacing w:line="240" w:lineRule="auto" w:after="0" w:before="0"/>
      </w:pPr>
      <w:rPr>
        <w:b/>
        <w:bCs/>
      </w:rPr>
      <w:tblPr/>
      <w:tcPr>
        <w:tcBorders>
          <w:top w:space="0" w:sz="8" w:themeColor="text1" w:color="000000" w:val="single"/>
          <w:left w:val="nil"/>
          <w:bottom w:space="0" w:sz="8" w:themeColor="text1" w:color="000000" w:val="single"/>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themeFillTint="3f" w:themeFill="text1" w:fill="C0C0C0" w:color="auto" w:val="clear"/>
      </w:tcPr>
    </w:tblStylePr>
    <w:tblStylePr w:type="band1Horz">
      <w:tblPr/>
      <w:tcPr>
        <w:tcBorders>
          <w:left w:val="nil"/>
          <w:right w:val="nil"/>
          <w:insideH w:val="nil"/>
          <w:insideV w:val="nil"/>
        </w:tcBorders>
        <w:shd w:themeFillTint="3f" w:themeFill="text1" w:fill="C0C0C0" w:color="auto" w:val="clear"/>
      </w:tcPr>
    </w:tblStyle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wmf"/><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Relationship Id="rId7" Type="http://schemas.openxmlformats.org/officeDocument/2006/relationships/customXml" Target="../customXml/item1.xml"/>
</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8529B1-413A-4D58-B20F-5D04395044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Application>Microsoft Office Word</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2014-11-28T20:01:00Z</dcterms:created>
  <dc:creator>Christian</dc:creator>
  <dc:language>de-DE</dc:language>
  <cp:lastModifiedBy>Christian</cp:lastModifiedBy>
  <cp:lastPrinted>2014-10-07T13:21:00Z</cp:lastPrinted>
  <dcterms:modified xsi:type="dcterms:W3CDTF">2014-11-28T20:01:00Z</dcterms:modified>
  <cp:revision>2</cp:revision>
</cp:coreProperties>
</file>