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54D78" w14:textId="77777777" w:rsidR="00D74262" w:rsidRDefault="00D74262" w:rsidP="004070E1">
      <w:pPr>
        <w:tabs>
          <w:tab w:val="center" w:pos="4536"/>
        </w:tabs>
        <w:spacing w:after="0" w:line="240" w:lineRule="auto"/>
        <w:rPr>
          <w:rFonts w:eastAsia="Times New Roman" w:cs="Times New Roman"/>
          <w:lang w:eastAsia="de-DE"/>
        </w:rPr>
      </w:pPr>
      <w:r w:rsidRPr="004070E1">
        <w:rPr>
          <w:rFonts w:eastAsia="Times New Roman" w:cs="Times New Roman"/>
          <w:lang w:eastAsia="de-DE"/>
        </w:rPr>
        <w:t>Klappentext "Sprechen und Zuhören"</w:t>
      </w:r>
      <w:r w:rsidR="004070E1">
        <w:rPr>
          <w:rFonts w:eastAsia="Times New Roman" w:cs="Times New Roman"/>
          <w:lang w:eastAsia="de-DE"/>
        </w:rPr>
        <w:tab/>
      </w:r>
    </w:p>
    <w:p w14:paraId="5079E211" w14:textId="77777777" w:rsidR="004070E1" w:rsidRPr="004070E1" w:rsidRDefault="004070E1" w:rsidP="004070E1">
      <w:pPr>
        <w:tabs>
          <w:tab w:val="center" w:pos="4536"/>
        </w:tabs>
        <w:spacing w:after="0" w:line="240" w:lineRule="auto"/>
        <w:rPr>
          <w:rFonts w:eastAsia="Times New Roman" w:cs="Times New Roman"/>
          <w:lang w:eastAsia="de-DE"/>
        </w:rPr>
      </w:pPr>
    </w:p>
    <w:p w14:paraId="6EE273B9" w14:textId="77777777" w:rsidR="00D74262" w:rsidRPr="004070E1" w:rsidRDefault="00D74262" w:rsidP="00D74262">
      <w:pPr>
        <w:spacing w:after="0" w:line="240" w:lineRule="auto"/>
      </w:pPr>
      <w:r w:rsidRPr="004070E1">
        <w:rPr>
          <w:rFonts w:eastAsia="Times New Roman" w:cs="Times New Roman"/>
          <w:lang w:eastAsia="de-DE"/>
        </w:rPr>
        <w:br/>
        <w:t>Dieses Modul beschäftigt sich mit dem Kompetenzbereich „Sprechen und Zuhören“, zu dem verschiedene Zugänge vorgestellt werden. Vorausgesetzt wird ein Internetzugang mit digitalen Endgeräten.</w:t>
      </w:r>
      <w:r w:rsidRPr="004070E1">
        <w:rPr>
          <w:rFonts w:eastAsia="Times New Roman" w:cs="Times New Roman"/>
          <w:lang w:eastAsia="de-DE"/>
        </w:rPr>
        <w:br/>
        <w:t xml:space="preserve">Zunächst wird die Informationsentnahme anhand von zwei </w:t>
      </w:r>
      <w:r w:rsidRPr="004070E1">
        <w:rPr>
          <w:rFonts w:eastAsia="Times New Roman" w:cs="Times New Roman"/>
          <w:u w:val="single"/>
          <w:lang w:eastAsia="de-DE"/>
        </w:rPr>
        <w:t>Videos</w:t>
      </w:r>
      <w:r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color w:val="FF0000"/>
        </w:rPr>
        <w:t>(01_sprechen_01_shell-studie_1_video.docx)</w:t>
      </w:r>
      <w:r w:rsidR="004070E1" w:rsidRPr="004070E1">
        <w:t xml:space="preserve"> </w:t>
      </w:r>
      <w:r w:rsidRPr="004070E1">
        <w:rPr>
          <w:rFonts w:eastAsia="Times New Roman" w:cs="Times New Roman"/>
          <w:lang w:eastAsia="de-DE"/>
        </w:rPr>
        <w:t xml:space="preserve">zur Shell-Jugendstudie 2015 auf mittlerem Anforderungsniveau geübt. Die anspruchsvollere Variante für die Oberstufe besteht in dem </w:t>
      </w:r>
      <w:r w:rsidRPr="004070E1">
        <w:rPr>
          <w:rFonts w:eastAsia="Times New Roman" w:cs="Times New Roman"/>
          <w:u w:val="single"/>
          <w:lang w:eastAsia="de-DE"/>
        </w:rPr>
        <w:t>Verfassen einer Mitschrift</w:t>
      </w:r>
      <w:r w:rsidR="004070E1"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color w:val="FF0000"/>
        </w:rPr>
        <w:t>(</w:t>
      </w:r>
      <w:proofErr w:type="gramStart"/>
      <w:r w:rsidR="004070E1" w:rsidRPr="003000E1">
        <w:rPr>
          <w:color w:val="FF0000"/>
        </w:rPr>
        <w:t>01_sprechen_02_shell-studie2_mitschrift_ab.docx)</w:t>
      </w:r>
      <w:r w:rsidR="004070E1" w:rsidRPr="004070E1">
        <w:t xml:space="preserve">  </w:t>
      </w:r>
      <w:r w:rsidRPr="004070E1">
        <w:rPr>
          <w:rFonts w:eastAsia="Times New Roman" w:cs="Times New Roman"/>
          <w:lang w:eastAsia="de-DE"/>
        </w:rPr>
        <w:t>zu</w:t>
      </w:r>
      <w:proofErr w:type="gramEnd"/>
      <w:r w:rsidRPr="004070E1">
        <w:rPr>
          <w:rFonts w:eastAsia="Times New Roman" w:cs="Times New Roman"/>
          <w:lang w:eastAsia="de-DE"/>
        </w:rPr>
        <w:t xml:space="preserve"> der offiziellen Pressekonferenz</w:t>
      </w:r>
      <w:r w:rsidR="003D1FF4" w:rsidRPr="004070E1">
        <w:rPr>
          <w:rFonts w:eastAsia="Times New Roman" w:cs="Times New Roman"/>
          <w:lang w:eastAsia="de-DE"/>
        </w:rPr>
        <w:t xml:space="preserve">. Genauere Erläuterungen dazu finden sich auf dem </w:t>
      </w:r>
      <w:r w:rsidRPr="004070E1">
        <w:rPr>
          <w:rFonts w:eastAsia="Times New Roman" w:cs="Times New Roman"/>
          <w:u w:val="single"/>
          <w:lang w:eastAsia="de-DE"/>
        </w:rPr>
        <w:t xml:space="preserve">Hinweisblatt für </w:t>
      </w:r>
      <w:r w:rsidRPr="003000E1">
        <w:rPr>
          <w:rFonts w:eastAsia="Times New Roman" w:cs="Times New Roman"/>
          <w:color w:val="FF0000"/>
          <w:u w:val="single"/>
          <w:lang w:eastAsia="de-DE"/>
        </w:rPr>
        <w:t>Lehrkräfte</w:t>
      </w:r>
      <w:r w:rsidRPr="003000E1">
        <w:rPr>
          <w:rFonts w:eastAsia="Times New Roman" w:cs="Times New Roman"/>
          <w:color w:val="FF0000"/>
          <w:lang w:eastAsia="de-DE"/>
        </w:rPr>
        <w:t xml:space="preserve"> </w:t>
      </w:r>
      <w:r w:rsidR="004070E1" w:rsidRPr="003000E1">
        <w:rPr>
          <w:color w:val="FF0000"/>
        </w:rPr>
        <w:t>(01_sprechen_02_shell-studie_mitschrift_hinweise.docx)</w:t>
      </w:r>
      <w:r w:rsidR="004070E1" w:rsidRPr="004070E1">
        <w:t>.</w:t>
      </w:r>
      <w:r w:rsidRPr="004070E1">
        <w:rPr>
          <w:rFonts w:eastAsia="Times New Roman" w:cs="Times New Roman"/>
          <w:lang w:eastAsia="de-DE"/>
        </w:rPr>
        <w:br/>
        <w:t xml:space="preserve">Allgemeine Grundsätze von Kommunikation werden über eine </w:t>
      </w:r>
      <w:r w:rsidRPr="004070E1">
        <w:rPr>
          <w:rFonts w:eastAsia="Times New Roman" w:cs="Times New Roman"/>
          <w:u w:val="single"/>
          <w:lang w:eastAsia="de-DE"/>
        </w:rPr>
        <w:t>Zuordnungsaufgabe</w:t>
      </w:r>
      <w:r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color w:val="FF0000"/>
        </w:rPr>
        <w:t>(01_sprechen_03_was_ist_kommunikation.docx)</w:t>
      </w:r>
      <w:r w:rsidR="004070E1" w:rsidRPr="004070E1">
        <w:t xml:space="preserve"> </w:t>
      </w:r>
      <w:r w:rsidRPr="004070E1">
        <w:rPr>
          <w:rFonts w:eastAsia="Times New Roman" w:cs="Times New Roman"/>
          <w:lang w:eastAsia="de-DE"/>
        </w:rPr>
        <w:t xml:space="preserve">erarbeitet bzw. vertieft. Anhand einer interaktiven Übung wird, angeleitet durch ein weiteres </w:t>
      </w:r>
      <w:r w:rsidRPr="004070E1">
        <w:rPr>
          <w:rFonts w:eastAsia="Times New Roman" w:cs="Times New Roman"/>
          <w:u w:val="single"/>
          <w:lang w:eastAsia="de-DE"/>
        </w:rPr>
        <w:t>Arbeitsblatt</w:t>
      </w:r>
      <w:r w:rsidR="004070E1" w:rsidRPr="004070E1">
        <w:rPr>
          <w:rFonts w:eastAsia="Times New Roman" w:cs="Times New Roman"/>
          <w:u w:val="single"/>
          <w:lang w:eastAsia="de-DE"/>
        </w:rPr>
        <w:t xml:space="preserve"> </w:t>
      </w:r>
      <w:r w:rsidR="004070E1" w:rsidRPr="003000E1">
        <w:rPr>
          <w:color w:val="FF0000"/>
        </w:rPr>
        <w:t>(01_sprechen_04_schulz_v_thun.docx)</w:t>
      </w:r>
      <w:r w:rsidRPr="004070E1">
        <w:rPr>
          <w:rFonts w:eastAsia="Times New Roman" w:cs="Times New Roman"/>
          <w:lang w:eastAsia="de-DE"/>
        </w:rPr>
        <w:t>, das 4-Seiten-Modell Schulz von Thuns eingeführt bzw. wiederholt.</w:t>
      </w:r>
      <w:r w:rsidRPr="004070E1">
        <w:rPr>
          <w:rFonts w:eastAsia="Times New Roman" w:cs="Times New Roman"/>
          <w:lang w:eastAsia="de-DE"/>
        </w:rPr>
        <w:br/>
      </w:r>
      <w:r w:rsidR="004070E1" w:rsidRPr="004070E1">
        <w:rPr>
          <w:rFonts w:eastAsia="Times New Roman" w:cs="Times New Roman"/>
          <w:lang w:eastAsia="de-DE"/>
        </w:rPr>
        <w:t xml:space="preserve">In einer </w:t>
      </w:r>
      <w:r w:rsidRPr="004070E1">
        <w:rPr>
          <w:rFonts w:eastAsia="Times New Roman" w:cs="Times New Roman"/>
          <w:lang w:eastAsia="de-DE"/>
        </w:rPr>
        <w:t xml:space="preserve">weiteren </w:t>
      </w:r>
      <w:r w:rsidRPr="004070E1">
        <w:rPr>
          <w:rFonts w:eastAsia="Times New Roman" w:cs="Times New Roman"/>
          <w:u w:val="single"/>
          <w:lang w:eastAsia="de-DE"/>
        </w:rPr>
        <w:t xml:space="preserve">interaktiven </w:t>
      </w:r>
      <w:r w:rsidR="004070E1" w:rsidRPr="004070E1">
        <w:rPr>
          <w:rFonts w:eastAsia="Times New Roman" w:cs="Times New Roman"/>
          <w:u w:val="single"/>
          <w:lang w:eastAsia="de-DE"/>
        </w:rPr>
        <w:t>Übung</w:t>
      </w:r>
      <w:r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color w:val="FF0000"/>
        </w:rPr>
        <w:t>(01_sprechen_05_verbote_podcast.docx)</w:t>
      </w:r>
      <w:r w:rsidR="004070E1" w:rsidRPr="004070E1">
        <w:t xml:space="preserve"> entnehmen die Schülerinnen und Schülern zentrale Informationen aus einem Podcast</w:t>
      </w:r>
      <w:r w:rsidRPr="004070E1">
        <w:rPr>
          <w:rFonts w:eastAsia="Times New Roman" w:cs="Times New Roman"/>
          <w:lang w:eastAsia="de-DE"/>
        </w:rPr>
        <w:t>.</w:t>
      </w:r>
      <w:r w:rsidRPr="004070E1">
        <w:rPr>
          <w:rFonts w:eastAsia="Times New Roman" w:cs="Times New Roman"/>
          <w:lang w:eastAsia="de-DE"/>
        </w:rPr>
        <w:br/>
        <w:t>Die zielgerichtete Informationsentnahme für die eigene Argumentation wird in der Oberstufe auf der Grundlage eines Kurzfilms eingeübt</w:t>
      </w:r>
      <w:r w:rsidR="005B39D3" w:rsidRPr="004070E1">
        <w:rPr>
          <w:rFonts w:eastAsia="Times New Roman" w:cs="Times New Roman"/>
          <w:lang w:eastAsia="de-DE"/>
        </w:rPr>
        <w:t>.</w:t>
      </w:r>
      <w:r w:rsidRPr="004070E1">
        <w:rPr>
          <w:rFonts w:eastAsia="Times New Roman" w:cs="Times New Roman"/>
          <w:lang w:eastAsia="de-DE"/>
        </w:rPr>
        <w:t xml:space="preserve"> Hierzu steht </w:t>
      </w:r>
      <w:r w:rsidR="005B39D3" w:rsidRPr="004070E1">
        <w:rPr>
          <w:rFonts w:eastAsia="Times New Roman" w:cs="Times New Roman"/>
          <w:lang w:eastAsia="de-DE"/>
        </w:rPr>
        <w:t xml:space="preserve">sowohl ein </w:t>
      </w:r>
      <w:r w:rsidR="005B39D3" w:rsidRPr="004070E1">
        <w:rPr>
          <w:rFonts w:eastAsia="Times New Roman" w:cs="Times New Roman"/>
          <w:u w:val="single"/>
          <w:lang w:eastAsia="de-DE"/>
        </w:rPr>
        <w:t>Arbeitsblatt</w:t>
      </w:r>
      <w:r w:rsidR="005B39D3"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rFonts w:eastAsia="Times New Roman" w:cs="Times New Roman"/>
          <w:color w:val="FF0000"/>
          <w:lang w:eastAsia="de-DE"/>
        </w:rPr>
        <w:t>(</w:t>
      </w:r>
      <w:r w:rsidR="00954AA5" w:rsidRPr="003000E1">
        <w:rPr>
          <w:rFonts w:eastAsia="Times New Roman" w:cs="Times New Roman"/>
          <w:color w:val="FF0000"/>
          <w:lang w:eastAsia="de-DE"/>
        </w:rPr>
        <w:t>01_sprechen_06_argumentieren_ab.docx)</w:t>
      </w:r>
      <w:r w:rsidR="00954AA5">
        <w:rPr>
          <w:rFonts w:eastAsia="Times New Roman" w:cs="Times New Roman"/>
          <w:lang w:eastAsia="de-DE"/>
        </w:rPr>
        <w:t xml:space="preserve"> </w:t>
      </w:r>
      <w:r w:rsidR="005B39D3" w:rsidRPr="004070E1">
        <w:rPr>
          <w:rFonts w:eastAsia="Times New Roman" w:cs="Times New Roman"/>
          <w:lang w:eastAsia="de-DE"/>
        </w:rPr>
        <w:t xml:space="preserve">als auch </w:t>
      </w:r>
      <w:r w:rsidRPr="004070E1">
        <w:rPr>
          <w:rFonts w:eastAsia="Times New Roman" w:cs="Times New Roman"/>
          <w:lang w:eastAsia="de-DE"/>
        </w:rPr>
        <w:t xml:space="preserve">ein </w:t>
      </w:r>
      <w:r w:rsidRPr="004070E1">
        <w:rPr>
          <w:rFonts w:eastAsia="Times New Roman" w:cs="Times New Roman"/>
          <w:u w:val="single"/>
          <w:lang w:eastAsia="de-DE"/>
        </w:rPr>
        <w:t>Hinweisblatt für Lehrkräfte</w:t>
      </w:r>
      <w:r w:rsidR="004070E1" w:rsidRPr="004070E1">
        <w:rPr>
          <w:rFonts w:eastAsia="Times New Roman" w:cs="Times New Roman"/>
          <w:lang w:eastAsia="de-DE"/>
        </w:rPr>
        <w:t xml:space="preserve"> </w:t>
      </w:r>
      <w:r w:rsidR="004070E1" w:rsidRPr="003000E1">
        <w:rPr>
          <w:color w:val="FF0000"/>
        </w:rPr>
        <w:t>(</w:t>
      </w:r>
      <w:r w:rsidR="00954AA5" w:rsidRPr="003000E1">
        <w:rPr>
          <w:color w:val="FF0000"/>
        </w:rPr>
        <w:t>01_sprechen_06_argumentieren_hinweise.docx</w:t>
      </w:r>
      <w:r w:rsidR="004070E1" w:rsidRPr="003000E1">
        <w:rPr>
          <w:color w:val="FF0000"/>
        </w:rPr>
        <w:t>)</w:t>
      </w:r>
      <w:r w:rsidR="004070E1" w:rsidRPr="004070E1">
        <w:t xml:space="preserve"> </w:t>
      </w:r>
      <w:r w:rsidR="005B39D3" w:rsidRPr="004070E1">
        <w:rPr>
          <w:rFonts w:eastAsia="Times New Roman" w:cs="Times New Roman"/>
          <w:lang w:eastAsia="de-DE"/>
        </w:rPr>
        <w:t xml:space="preserve">zur Verfügung. </w:t>
      </w:r>
      <w:r w:rsidR="003D1FF4" w:rsidRPr="004070E1">
        <w:rPr>
          <w:rFonts w:eastAsia="Times New Roman" w:cs="Times New Roman"/>
          <w:lang w:eastAsia="de-DE"/>
        </w:rPr>
        <w:t xml:space="preserve">Diesem können auch die Anmerkungen zum Vorgehen in </w:t>
      </w:r>
      <w:r w:rsidR="005B39D3" w:rsidRPr="004070E1">
        <w:rPr>
          <w:rFonts w:eastAsia="Times New Roman" w:cs="Times New Roman"/>
          <w:lang w:eastAsia="de-DE"/>
        </w:rPr>
        <w:t>der Mittelstufe</w:t>
      </w:r>
      <w:r w:rsidR="003D1FF4" w:rsidRPr="004070E1">
        <w:rPr>
          <w:rFonts w:eastAsia="Times New Roman" w:cs="Times New Roman"/>
          <w:lang w:eastAsia="de-DE"/>
        </w:rPr>
        <w:t xml:space="preserve"> entnommen werden</w:t>
      </w:r>
      <w:r w:rsidRPr="004070E1">
        <w:rPr>
          <w:rFonts w:eastAsia="Times New Roman" w:cs="Times New Roman"/>
          <w:lang w:eastAsia="de-DE"/>
        </w:rPr>
        <w:t>.</w:t>
      </w:r>
    </w:p>
    <w:p w14:paraId="007E8057" w14:textId="77777777" w:rsidR="00D74262" w:rsidRPr="004070E1" w:rsidRDefault="005B39D3" w:rsidP="003D1FF4">
      <w:pPr>
        <w:spacing w:after="0" w:line="240" w:lineRule="auto"/>
        <w:rPr>
          <w:rFonts w:eastAsia="Times New Roman" w:cs="Times New Roman"/>
          <w:lang w:eastAsia="de-DE"/>
        </w:rPr>
      </w:pPr>
      <w:r w:rsidRPr="004070E1">
        <w:rPr>
          <w:rFonts w:eastAsia="Times New Roman" w:cs="Times New Roman"/>
          <w:lang w:eastAsia="de-DE"/>
        </w:rPr>
        <w:t xml:space="preserve">Um die Arbeit an Tablets zu erleichtern, werden Verweise auf Internetseiten auch als QR-Code </w:t>
      </w:r>
      <w:r w:rsidR="003D1FF4" w:rsidRPr="004070E1">
        <w:rPr>
          <w:rFonts w:eastAsia="Times New Roman" w:cs="Times New Roman"/>
          <w:lang w:eastAsia="de-DE"/>
        </w:rPr>
        <w:t xml:space="preserve">bereitgestellt. Eine Anleitung zur Erstellung von QR-Codes findet sich </w:t>
      </w:r>
      <w:r w:rsidR="003D1FF4" w:rsidRPr="004070E1">
        <w:rPr>
          <w:rFonts w:eastAsia="Times New Roman" w:cs="Times New Roman"/>
          <w:u w:val="single"/>
          <w:lang w:eastAsia="de-DE"/>
        </w:rPr>
        <w:t>hier</w:t>
      </w:r>
      <w:r w:rsidR="004070E1" w:rsidRPr="004070E1">
        <w:rPr>
          <w:rFonts w:eastAsia="Times New Roman" w:cs="Times New Roman"/>
          <w:lang w:eastAsia="de-DE"/>
        </w:rPr>
        <w:t xml:space="preserve"> </w:t>
      </w:r>
      <w:r w:rsidR="00954AA5" w:rsidRPr="003000E1">
        <w:rPr>
          <w:rFonts w:eastAsia="Times New Roman" w:cs="Times New Roman"/>
          <w:color w:val="FF0000"/>
          <w:lang w:eastAsia="de-DE"/>
        </w:rPr>
        <w:t>(01_sprechen_07_qr-code_anleitung.pdf</w:t>
      </w:r>
      <w:bookmarkStart w:id="0" w:name="_GoBack"/>
      <w:r w:rsidR="00954AA5" w:rsidRPr="003000E1">
        <w:rPr>
          <w:rFonts w:eastAsia="Times New Roman" w:cs="Times New Roman"/>
          <w:color w:val="FF0000"/>
          <w:lang w:eastAsia="de-DE"/>
        </w:rPr>
        <w:t>)</w:t>
      </w:r>
      <w:bookmarkEnd w:id="0"/>
      <w:r w:rsidR="003D1FF4" w:rsidRPr="004070E1">
        <w:rPr>
          <w:rFonts w:eastAsia="Times New Roman" w:cs="Times New Roman"/>
          <w:lang w:eastAsia="de-DE"/>
        </w:rPr>
        <w:t>.</w:t>
      </w:r>
      <w:r w:rsidR="00D74262" w:rsidRPr="004070E1">
        <w:rPr>
          <w:rFonts w:eastAsia="Times New Roman" w:cs="Times New Roman"/>
          <w:lang w:eastAsia="de-DE"/>
        </w:rPr>
        <w:br/>
      </w:r>
      <w:r w:rsidR="00D74262" w:rsidRPr="004070E1">
        <w:rPr>
          <w:rFonts w:eastAsia="Times New Roman" w:cs="Times New Roman"/>
          <w:lang w:eastAsia="de-DE"/>
        </w:rPr>
        <w:br/>
      </w:r>
      <w:r w:rsidR="00D74262" w:rsidRPr="004070E1">
        <w:rPr>
          <w:rFonts w:eastAsia="Times New Roman" w:cs="Times New Roman"/>
          <w:lang w:eastAsia="de-DE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81"/>
      </w:tblGrid>
      <w:tr w:rsidR="00D74262" w:rsidRPr="004070E1" w14:paraId="48C354BB" w14:textId="77777777" w:rsidTr="00D7426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E2E19" w14:textId="77777777" w:rsidR="00D74262" w:rsidRPr="004070E1" w:rsidRDefault="00D74262" w:rsidP="00D74262">
            <w:pPr>
              <w:spacing w:after="0" w:line="240" w:lineRule="auto"/>
              <w:rPr>
                <w:rFonts w:eastAsia="Times New Roman" w:cs="Times New Roman"/>
                <w:lang w:eastAsia="de-DE"/>
              </w:rPr>
            </w:pPr>
            <w:r w:rsidRPr="004070E1">
              <w:rPr>
                <w:rFonts w:eastAsia="Times New Roman" w:cs="Times New Roman"/>
                <w:noProof/>
                <w:lang w:eastAsia="de-DE"/>
              </w:rPr>
              <w:drawing>
                <wp:inline distT="0" distB="0" distL="0" distR="0" wp14:anchorId="33084F59" wp14:editId="60D8DE99">
                  <wp:extent cx="304800" cy="304800"/>
                  <wp:effectExtent l="0" t="0" r="0" b="0"/>
                  <wp:docPr id="1" name="Grafik 1" descr="https://ssl.gstatic.com/ui/v1/icons/mail/no_phot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:ms_31" descr="https://ssl.gstatic.com/ui/v1/icons/mail/no_phot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0B0B3A2C" w14:textId="77777777" w:rsidR="00D74262" w:rsidRPr="004070E1" w:rsidRDefault="00D74262" w:rsidP="00D74262">
            <w:pPr>
              <w:spacing w:after="0" w:line="240" w:lineRule="auto"/>
              <w:rPr>
                <w:rFonts w:eastAsia="Times New Roman" w:cs="Times New Roman"/>
                <w:lang w:eastAsia="de-DE"/>
              </w:rPr>
            </w:pPr>
          </w:p>
        </w:tc>
      </w:tr>
    </w:tbl>
    <w:p w14:paraId="0896689C" w14:textId="77777777" w:rsidR="005A15EB" w:rsidRPr="004070E1" w:rsidRDefault="005A15EB" w:rsidP="005A15EB">
      <w:pPr>
        <w:spacing w:after="0" w:line="240" w:lineRule="auto"/>
      </w:pPr>
    </w:p>
    <w:p w14:paraId="0D37DC3A" w14:textId="77777777" w:rsidR="005A15EB" w:rsidRPr="004070E1" w:rsidRDefault="005A15EB" w:rsidP="005A15EB">
      <w:pPr>
        <w:spacing w:after="0" w:line="240" w:lineRule="auto"/>
      </w:pPr>
    </w:p>
    <w:sectPr w:rsidR="005A15EB" w:rsidRPr="004070E1" w:rsidSect="00A577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262"/>
    <w:rsid w:val="003000E1"/>
    <w:rsid w:val="003D1FF4"/>
    <w:rsid w:val="004070E1"/>
    <w:rsid w:val="005A15EB"/>
    <w:rsid w:val="005B39D3"/>
    <w:rsid w:val="00623E21"/>
    <w:rsid w:val="00746D99"/>
    <w:rsid w:val="00954AA5"/>
    <w:rsid w:val="00A57704"/>
    <w:rsid w:val="00D7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2B18"/>
  <w15:docId w15:val="{A94F67CB-D3FA-4CA0-B56F-FDAEB56E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426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742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70E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4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0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5208-18CE-4F9B-A566-7D094A77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Wirtschaftsgymnasium West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 Tajana</dc:creator>
  <cp:keywords/>
  <dc:description/>
  <cp:lastModifiedBy>Michael Kazenwadel</cp:lastModifiedBy>
  <cp:revision>5</cp:revision>
  <dcterms:created xsi:type="dcterms:W3CDTF">2019-07-23T16:15:00Z</dcterms:created>
  <dcterms:modified xsi:type="dcterms:W3CDTF">2019-08-08T11:48:00Z</dcterms:modified>
</cp:coreProperties>
</file>