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732"/>
        <w:gridCol w:w="2485"/>
        <w:gridCol w:w="1845"/>
        <w:gridCol w:w="3570"/>
      </w:tblGrid>
      <w:tr w:rsidR="00181E4A" w14:paraId="41CA1552" w14:textId="77777777">
        <w:trPr>
          <w:trHeight w:val="279"/>
          <w:tblHeader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44E9" w14:textId="77777777" w:rsidR="00181E4A" w:rsidRDefault="00C870CA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Epoche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6C7E" w14:textId="77777777" w:rsidR="00181E4A" w:rsidRDefault="00C870CA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Gedicht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11369" w14:textId="77777777" w:rsidR="00181E4A" w:rsidRDefault="00C870CA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Zugang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283E0" w14:textId="77777777" w:rsidR="00181E4A" w:rsidRDefault="00C870CA">
            <w:pPr>
              <w:pStyle w:val="Tabellenstil1"/>
              <w:jc w:val="center"/>
            </w:pPr>
            <w:r>
              <w:rPr>
                <w:rFonts w:ascii="Arial" w:hAnsi="Arial"/>
                <w:sz w:val="22"/>
                <w:szCs w:val="22"/>
              </w:rPr>
              <w:t>Reisemotive</w:t>
            </w:r>
          </w:p>
        </w:tc>
      </w:tr>
      <w:tr w:rsidR="00181E4A" w:rsidRPr="00BC1829" w14:paraId="4439F5FD" w14:textId="77777777">
        <w:tblPrEx>
          <w:shd w:val="clear" w:color="auto" w:fill="auto"/>
        </w:tblPrEx>
        <w:trPr>
          <w:trHeight w:val="361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0C8D4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Sturm und Drang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51EEB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Goethe „Auf dem See“ (1789)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FF629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79D59623" wp14:editId="11EDB2CE">
                  <wp:extent cx="665954" cy="67172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54" cy="6717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719A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Aufbruch in die Natur</w:t>
            </w:r>
            <w:r>
              <w:rPr>
                <w:rFonts w:ascii="Arial" w:hAnsi="Arial"/>
                <w:sz w:val="22"/>
                <w:szCs w:val="22"/>
              </w:rPr>
              <w:br/>
              <w:t>&gt; Suche nach einer harmonischen inneren Balance, Ruhe</w:t>
            </w:r>
            <w:r>
              <w:rPr>
                <w:rFonts w:ascii="Arial" w:hAnsi="Arial"/>
                <w:sz w:val="22"/>
                <w:szCs w:val="22"/>
              </w:rPr>
              <w:br/>
              <w:t>&gt; Freiheitsliebe, Autonomiestreben</w:t>
            </w:r>
            <w:r>
              <w:rPr>
                <w:rFonts w:ascii="Arial" w:hAnsi="Arial"/>
                <w:sz w:val="22"/>
                <w:szCs w:val="22"/>
              </w:rPr>
              <w:br/>
              <w:t>&gt; „Rudertakt“, Gleichmäßigkeit</w:t>
            </w:r>
            <w:r>
              <w:rPr>
                <w:rFonts w:ascii="Arial" w:hAnsi="Arial"/>
                <w:sz w:val="22"/>
                <w:szCs w:val="22"/>
              </w:rPr>
              <w:br/>
              <w:t>&gt; Land-Wasser, frisch/neu</w:t>
            </w:r>
            <w:r>
              <w:rPr>
                <w:rFonts w:ascii="Arial" w:hAnsi="Arial"/>
                <w:sz w:val="22"/>
                <w:szCs w:val="22"/>
              </w:rPr>
              <w:br/>
              <w:t>&gt; Fortbewegungsmittel: „Kahn“</w:t>
            </w:r>
            <w:r>
              <w:rPr>
                <w:rFonts w:ascii="Arial" w:hAnsi="Arial"/>
                <w:sz w:val="22"/>
                <w:szCs w:val="22"/>
              </w:rPr>
              <w:br/>
              <w:t>&gt; Naturverbundenheit, Wahrnehmung der Natur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„schwebende Sterne“: </w:t>
            </w:r>
            <w:r>
              <w:rPr>
                <w:rFonts w:ascii="Arial" w:hAnsi="Arial"/>
                <w:sz w:val="22"/>
                <w:szCs w:val="22"/>
              </w:rPr>
              <w:br/>
              <w:t>&gt; „weiche Nebel trinken“= Personifikation</w:t>
            </w:r>
            <w:r>
              <w:rPr>
                <w:rFonts w:ascii="Arial" w:hAnsi="Arial"/>
                <w:sz w:val="22"/>
                <w:szCs w:val="22"/>
              </w:rPr>
              <w:br/>
              <w:t>&gt; Traummotiv; Reise ins Innere („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Goldne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Träume“)</w:t>
            </w:r>
          </w:p>
        </w:tc>
      </w:tr>
      <w:tr w:rsidR="00181E4A" w:rsidRPr="00BC1829" w14:paraId="25C91C32" w14:textId="77777777">
        <w:tblPrEx>
          <w:shd w:val="clear" w:color="auto" w:fill="auto"/>
        </w:tblPrEx>
        <w:trPr>
          <w:trHeight w:val="313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ECAF7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Klassik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D60B0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Goethe „Kennst du das Land? wo die Zitronen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blühn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“ (1783)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31CA0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66F14680" wp14:editId="512A8925">
                  <wp:extent cx="881162" cy="881162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162" cy="88116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DF40E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unterwegs sein</w:t>
            </w:r>
            <w:r>
              <w:rPr>
                <w:rFonts w:ascii="Arial" w:hAnsi="Arial"/>
                <w:sz w:val="22"/>
                <w:szCs w:val="22"/>
              </w:rPr>
              <w:br/>
              <w:t>&gt; südliche Landschaft und Natur, später Architektur und Natur</w:t>
            </w:r>
            <w:r>
              <w:rPr>
                <w:rFonts w:ascii="Arial" w:hAnsi="Arial"/>
                <w:sz w:val="22"/>
                <w:szCs w:val="22"/>
              </w:rPr>
              <w:br/>
              <w:t>&gt; harmonisch, klangvoll</w:t>
            </w:r>
            <w:r>
              <w:rPr>
                <w:rFonts w:ascii="Arial" w:hAnsi="Arial"/>
                <w:sz w:val="22"/>
                <w:szCs w:val="22"/>
              </w:rPr>
              <w:br/>
              <w:t>&gt; Sehnsucht, Schmerz (Ausruf „o“)</w:t>
            </w:r>
            <w:r>
              <w:rPr>
                <w:rFonts w:ascii="Arial" w:hAnsi="Arial"/>
                <w:sz w:val="22"/>
                <w:szCs w:val="22"/>
              </w:rPr>
              <w:br/>
              <w:t>&gt; Bildungsreise (vgl. Italienreise Goethes)</w:t>
            </w:r>
          </w:p>
          <w:p w14:paraId="6D886CF6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Wunschvorstellung</w:t>
            </w:r>
            <w:r>
              <w:rPr>
                <w:rFonts w:ascii="Arial" w:hAnsi="Arial"/>
                <w:sz w:val="22"/>
                <w:szCs w:val="22"/>
              </w:rPr>
              <w:br/>
              <w:t>&gt; Barriere („Berg“, „Wolkensteg“), bedrohliche Natur („stürzt der Fels über in die Flut“), mythische Wesen („Drachen alte Brut“)</w:t>
            </w:r>
          </w:p>
        </w:tc>
      </w:tr>
      <w:tr w:rsidR="00181E4A" w:rsidRPr="00BC1829" w14:paraId="6DCB8D80" w14:textId="77777777">
        <w:tblPrEx>
          <w:shd w:val="clear" w:color="auto" w:fill="auto"/>
        </w:tblPrEx>
        <w:trPr>
          <w:trHeight w:val="529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B6356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Romantik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EA46B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Joseph von Eichendorff „Sehnsucht“ (1834)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69654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67DC38D0" wp14:editId="067C84BE">
                  <wp:extent cx="804605" cy="828675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05" cy="8286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1FF49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Sehnsucht nach der Natur und Ferne</w:t>
            </w:r>
            <w:r>
              <w:rPr>
                <w:rFonts w:ascii="Arial" w:hAnsi="Arial"/>
                <w:sz w:val="22"/>
                <w:szCs w:val="22"/>
              </w:rPr>
              <w:br/>
              <w:t>&gt; Ziellosigkeit, Unendlichkeit der romantischen Sehnsucht</w:t>
            </w:r>
            <w:r>
              <w:rPr>
                <w:rFonts w:ascii="Arial" w:hAnsi="Arial"/>
                <w:sz w:val="22"/>
                <w:szCs w:val="22"/>
              </w:rPr>
              <w:br/>
              <w:t>&gt; liedartiger Charakter</w:t>
            </w:r>
            <w:r>
              <w:rPr>
                <w:rFonts w:ascii="Arial" w:hAnsi="Arial"/>
                <w:sz w:val="22"/>
                <w:szCs w:val="22"/>
              </w:rPr>
              <w:br/>
              <w:t>&gt; Systole —&gt; Diastole (von eng zu fern)</w:t>
            </w:r>
            <w:r>
              <w:rPr>
                <w:rFonts w:ascii="Arial" w:hAnsi="Arial"/>
                <w:sz w:val="22"/>
                <w:szCs w:val="22"/>
              </w:rPr>
              <w:br/>
              <w:t>&gt; Gefangenheit und Einsamkeit, Seelenlandschaft —&gt; „stille[s] Land“</w:t>
            </w:r>
            <w:r>
              <w:rPr>
                <w:rFonts w:ascii="Arial" w:hAnsi="Arial"/>
                <w:sz w:val="22"/>
                <w:szCs w:val="22"/>
              </w:rPr>
              <w:br/>
              <w:t>&gt; „Herz mir im Leiben entbrannte“ = Metapher —&gt; Wunsch des Mitreisens</w:t>
            </w:r>
            <w:r>
              <w:rPr>
                <w:rFonts w:ascii="Arial" w:hAnsi="Arial"/>
                <w:sz w:val="22"/>
                <w:szCs w:val="22"/>
              </w:rPr>
              <w:br/>
              <w:t>&gt; Nachtmotiv, Naturmotive</w:t>
            </w:r>
            <w:r>
              <w:rPr>
                <w:rFonts w:ascii="Arial" w:hAnsi="Arial"/>
                <w:sz w:val="22"/>
                <w:szCs w:val="22"/>
              </w:rPr>
              <w:br/>
              <w:t>&gt; „zwei junge Gesellen“: konträr zur Strophe eins</w:t>
            </w:r>
            <w:r>
              <w:rPr>
                <w:rFonts w:ascii="Arial" w:hAnsi="Arial"/>
                <w:sz w:val="22"/>
                <w:szCs w:val="22"/>
              </w:rPr>
              <w:br/>
              <w:t>&gt; freie Natur und Gesang</w:t>
            </w:r>
            <w:r>
              <w:rPr>
                <w:rFonts w:ascii="Arial" w:hAnsi="Arial"/>
                <w:sz w:val="22"/>
                <w:szCs w:val="22"/>
              </w:rPr>
              <w:br/>
              <w:t>&gt; Sehnsucht des lyrischen Ich nach Freiheit</w:t>
            </w:r>
            <w:r>
              <w:rPr>
                <w:rFonts w:ascii="Arial" w:hAnsi="Arial"/>
                <w:sz w:val="22"/>
                <w:szCs w:val="22"/>
              </w:rPr>
              <w:br/>
              <w:t>&gt; Erhabenheit der Natur träumerische Atmosphäre/Flucht in die Phantasie</w:t>
            </w:r>
          </w:p>
        </w:tc>
      </w:tr>
      <w:tr w:rsidR="00181E4A" w:rsidRPr="00BC1829" w14:paraId="6E32323D" w14:textId="77777777">
        <w:tblPrEx>
          <w:shd w:val="clear" w:color="auto" w:fill="auto"/>
        </w:tblPrEx>
        <w:trPr>
          <w:trHeight w:val="601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05C9D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Biedermeier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DC946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Eduard Mörike „Auf der Reise“ (1831)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F8541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71FD2631" wp14:editId="17AF1659">
                  <wp:extent cx="560551" cy="550969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51" cy="550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7EE00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Einsamkeit, Sehnsucht („sitz ich allein“)</w:t>
            </w:r>
            <w:r>
              <w:rPr>
                <w:rFonts w:ascii="Arial" w:hAnsi="Arial"/>
                <w:sz w:val="22"/>
                <w:szCs w:val="22"/>
              </w:rPr>
              <w:br/>
              <w:t>&gt; Ruhe</w:t>
            </w:r>
            <w:r>
              <w:rPr>
                <w:rFonts w:ascii="Arial" w:hAnsi="Arial"/>
                <w:sz w:val="22"/>
                <w:szCs w:val="22"/>
              </w:rPr>
              <w:br/>
              <w:t>&gt; Unsicherheit („Zwischen süßem Schmerz, zwischen…“)</w:t>
            </w:r>
            <w:r>
              <w:rPr>
                <w:rFonts w:ascii="Arial" w:hAnsi="Arial"/>
                <w:sz w:val="22"/>
                <w:szCs w:val="22"/>
              </w:rPr>
              <w:br/>
              <w:t>&gt; Rückzug ins Innere („wiege mich in bunten Träumen“)</w:t>
            </w:r>
            <w:r>
              <w:rPr>
                <w:rFonts w:ascii="Arial" w:hAnsi="Arial"/>
                <w:sz w:val="22"/>
                <w:szCs w:val="22"/>
              </w:rPr>
              <w:br/>
              <w:t>&gt; idyllischer Fluchtraum („liebe Mondenschein“ = Personifikation)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Innere Sehnsucht nach Natur </w:t>
            </w:r>
            <w:r>
              <w:rPr>
                <w:rFonts w:ascii="Arial" w:hAnsi="Arial"/>
                <w:sz w:val="22"/>
                <w:szCs w:val="22"/>
              </w:rPr>
              <w:br/>
              <w:t>&lt;—&gt; bürgerliches Äußere/Privatisierung („sogar zu mir durchs enge Fensterlein“)</w:t>
            </w:r>
            <w:r>
              <w:rPr>
                <w:rFonts w:ascii="Arial" w:hAnsi="Arial"/>
                <w:sz w:val="22"/>
                <w:szCs w:val="22"/>
              </w:rPr>
              <w:br/>
              <w:t>&gt; fantastische, fragile Wunschvorstellungen, Träumerei</w:t>
            </w:r>
            <w:r>
              <w:rPr>
                <w:rFonts w:ascii="Arial" w:hAnsi="Arial"/>
                <w:sz w:val="22"/>
                <w:szCs w:val="22"/>
              </w:rPr>
              <w:br/>
              <w:t>(„durch ein Zauberglas ins Goldgewebe deines Traumes blicken!“</w:t>
            </w:r>
            <w:r>
              <w:rPr>
                <w:rFonts w:ascii="Arial" w:hAnsi="Arial"/>
                <w:sz w:val="22"/>
                <w:szCs w:val="22"/>
              </w:rPr>
              <w:br/>
              <w:t>&gt; Erwachen/Realisierung der Unmöglichkeit des Traumes („Doch nein!“)</w:t>
            </w:r>
            <w:r>
              <w:rPr>
                <w:rFonts w:ascii="Arial" w:hAnsi="Arial"/>
                <w:sz w:val="22"/>
                <w:szCs w:val="22"/>
              </w:rPr>
              <w:br/>
              <w:t>&gt; Gegenüberstellung von Traum und eigener Wirklichkeit, Hoffnung bleibt („Du winkest wohl auch wachend mich herbei“)</w:t>
            </w:r>
          </w:p>
        </w:tc>
      </w:tr>
      <w:tr w:rsidR="00181E4A" w:rsidRPr="00BC1829" w14:paraId="7D36D734" w14:textId="77777777">
        <w:tblPrEx>
          <w:shd w:val="clear" w:color="auto" w:fill="auto"/>
        </w:tblPrEx>
        <w:trPr>
          <w:trHeight w:val="553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E4FDD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Vormärz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A94F3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Heinrich Heine „Lebensgruß“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0E295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32F90137" wp14:editId="15B06D41">
                  <wp:extent cx="584826" cy="586296"/>
                  <wp:effectExtent l="0" t="0" r="0" b="0"/>
                  <wp:docPr id="1073741829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26" cy="5862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1195E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Leben Reise, welche vergänglich ist</w:t>
            </w:r>
            <w:r>
              <w:rPr>
                <w:rFonts w:ascii="Arial" w:hAnsi="Arial"/>
                <w:sz w:val="22"/>
                <w:szCs w:val="22"/>
              </w:rPr>
              <w:br/>
              <w:t>&gt; Menschen werden hier mit Passagieren gleichgesetzt</w:t>
            </w:r>
            <w:r>
              <w:rPr>
                <w:rFonts w:ascii="Arial" w:hAnsi="Arial"/>
                <w:sz w:val="22"/>
                <w:szCs w:val="22"/>
              </w:rPr>
              <w:br/>
              <w:t>&gt; Anonymität, Hektik („Man“, „rennet und jaget“, „Man fährt sich vorüber“)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Parataktische Sätze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keine zwischenmenschliche Kontakte („Man hätte sich gerne geherzt und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geküßt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“)</w:t>
            </w:r>
            <w:r>
              <w:rPr>
                <w:rFonts w:ascii="Arial" w:hAnsi="Arial"/>
                <w:sz w:val="22"/>
                <w:szCs w:val="22"/>
              </w:rPr>
              <w:br/>
              <w:t>&gt; Bahnhof als Ort für Aufbruch und Trennung („auf derselben Station“, „bläst uns schon auseinander“)</w:t>
            </w:r>
            <w:r>
              <w:rPr>
                <w:rFonts w:ascii="Arial" w:hAnsi="Arial"/>
                <w:sz w:val="22"/>
                <w:szCs w:val="22"/>
              </w:rPr>
              <w:br/>
              <w:t>&gt; Monotonie des Lebens („bläst schon…bläst uns“)</w:t>
            </w:r>
            <w:r>
              <w:rPr>
                <w:rFonts w:ascii="Arial" w:hAnsi="Arial"/>
                <w:sz w:val="22"/>
                <w:szCs w:val="22"/>
              </w:rPr>
              <w:br/>
              <w:t>&gt; Passivität der Menschen (‚lyrisches Wir’)</w:t>
            </w:r>
            <w:r>
              <w:rPr>
                <w:rFonts w:ascii="Arial" w:hAnsi="Arial"/>
                <w:sz w:val="22"/>
                <w:szCs w:val="22"/>
              </w:rPr>
              <w:br/>
              <w:t>&gt; „Prinz Alexander“: Referenz zu Alexander zu Sayn-Wittgenstein-Hohenstein (Bezug auf historischen Kontext)</w:t>
            </w:r>
          </w:p>
        </w:tc>
      </w:tr>
      <w:tr w:rsidR="00181E4A" w:rsidRPr="00BC1829" w14:paraId="3F7A340D" w14:textId="77777777">
        <w:tblPrEx>
          <w:shd w:val="clear" w:color="auto" w:fill="auto"/>
        </w:tblPrEx>
        <w:trPr>
          <w:trHeight w:val="481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ADE9A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Realismus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A8566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Theodor Fontane „Guter Rat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“  (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ca. 1850)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C7085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2C5C1B06" wp14:editId="648588CC">
                  <wp:extent cx="671029" cy="665117"/>
                  <wp:effectExtent l="0" t="0" r="0" b="0"/>
                  <wp:docPr id="1073741830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29" cy="66511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58FAE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Aufbruch; Verwendung des Imperativs („Da nimm den Wanderstab“)</w:t>
            </w:r>
            <w:r>
              <w:rPr>
                <w:rFonts w:ascii="Arial" w:hAnsi="Arial"/>
                <w:sz w:val="22"/>
                <w:szCs w:val="22"/>
              </w:rPr>
              <w:br/>
              <w:t>&gt; Adressiert an das ‚lyrische Du’ (Ratschlag)</w:t>
            </w:r>
            <w:r>
              <w:rPr>
                <w:rFonts w:ascii="Arial" w:hAnsi="Arial"/>
                <w:sz w:val="22"/>
                <w:szCs w:val="22"/>
              </w:rPr>
              <w:br/>
              <w:t>&gt; Reise in die Natur, Abfall von Sorgen</w:t>
            </w:r>
          </w:p>
          <w:p w14:paraId="0925FF99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Vergleich („Sorgen wie Nebel von dir ab“)</w:t>
            </w:r>
            <w:r>
              <w:rPr>
                <w:rFonts w:ascii="Arial" w:hAnsi="Arial"/>
                <w:sz w:val="22"/>
                <w:szCs w:val="22"/>
              </w:rPr>
              <w:br/>
              <w:t>&gt; Personifikation („Bläue lacht“)</w:t>
            </w:r>
          </w:p>
          <w:p w14:paraId="11CB4DF4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Grau, trist —&gt; bunt</w:t>
            </w:r>
            <w:r>
              <w:rPr>
                <w:rFonts w:ascii="Arial" w:hAnsi="Arial"/>
                <w:sz w:val="22"/>
                <w:szCs w:val="22"/>
              </w:rPr>
              <w:br/>
              <w:t>&gt; Heimat („Vaterhaus“)</w:t>
            </w:r>
            <w:r>
              <w:rPr>
                <w:rFonts w:ascii="Arial" w:hAnsi="Arial"/>
                <w:sz w:val="22"/>
                <w:szCs w:val="22"/>
              </w:rPr>
              <w:br/>
              <w:t>&gt; Geborgenheit, Gott als Beschützer („wie Gottes Treue, mit seinem Dach dich ein“)</w:t>
            </w:r>
            <w:r>
              <w:rPr>
                <w:rFonts w:ascii="Arial" w:hAnsi="Arial"/>
                <w:sz w:val="22"/>
                <w:szCs w:val="22"/>
              </w:rPr>
              <w:br/>
              <w:t>&gt; Überhöhung der Wirklichkeit („über die Lerchen schwinget, die Seele sich hinaus“)</w:t>
            </w:r>
            <w:r>
              <w:rPr>
                <w:rFonts w:ascii="Arial" w:hAnsi="Arial"/>
                <w:sz w:val="22"/>
                <w:szCs w:val="22"/>
              </w:rPr>
              <w:br/>
              <w:t>&gt; Ordnung, Regelmäßigkeit (vgl. Reimschema)</w:t>
            </w:r>
          </w:p>
        </w:tc>
      </w:tr>
      <w:tr w:rsidR="00181E4A" w:rsidRPr="00BC1829" w14:paraId="2DB71E61" w14:textId="77777777">
        <w:tblPrEx>
          <w:shd w:val="clear" w:color="auto" w:fill="auto"/>
        </w:tblPrEx>
        <w:trPr>
          <w:trHeight w:val="6013"/>
        </w:trPr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BA938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Expressionismus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7A2A8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 xml:space="preserve">Alfred Wolfenstein „Verdammte Jugend“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7F4A7" w14:textId="77777777" w:rsidR="00181E4A" w:rsidRDefault="00C870CA">
            <w:pPr>
              <w:pStyle w:val="Tabellenstil2"/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71DDEF38" wp14:editId="6A2F33DF">
                  <wp:extent cx="828001" cy="845694"/>
                  <wp:effectExtent l="0" t="0" r="0" b="0"/>
                  <wp:docPr id="1073741831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01" cy="8456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17A9F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Aufbruch in den Krieg</w:t>
            </w:r>
            <w:r>
              <w:rPr>
                <w:rFonts w:ascii="Arial" w:hAnsi="Arial"/>
                <w:sz w:val="22"/>
                <w:szCs w:val="22"/>
              </w:rPr>
              <w:br/>
              <w:t>&gt; Unsicherheit, unbekanntes Umfeld („unbekannt und jedem Ort“)</w:t>
            </w:r>
            <w:r>
              <w:rPr>
                <w:rFonts w:ascii="Arial" w:hAnsi="Arial"/>
                <w:sz w:val="22"/>
                <w:szCs w:val="22"/>
              </w:rPr>
              <w:br/>
              <w:t>&gt; Hoffnung durch Blick in den Himmel</w:t>
            </w:r>
            <w:r>
              <w:rPr>
                <w:rFonts w:ascii="Arial" w:hAnsi="Arial"/>
                <w:sz w:val="22"/>
                <w:szCs w:val="22"/>
              </w:rPr>
              <w:br/>
              <w:t>&gt; Sprachlosigkeit („durch fremden Lärm und ohne Wort!“)</w:t>
            </w:r>
          </w:p>
          <w:p w14:paraId="5679D1F8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Einsamkeit, innere Leere („wie schön allein“)</w:t>
            </w:r>
            <w:r>
              <w:rPr>
                <w:rFonts w:ascii="Arial" w:hAnsi="Arial"/>
                <w:sz w:val="22"/>
                <w:szCs w:val="22"/>
              </w:rPr>
              <w:br/>
              <w:t>&gt; Heimatlosigkeit, Verlust, Ziellosigkeit („mich ohne Heimat“)</w:t>
            </w:r>
            <w:r>
              <w:rPr>
                <w:rFonts w:ascii="Arial" w:hAnsi="Arial"/>
                <w:sz w:val="22"/>
                <w:szCs w:val="22"/>
              </w:rPr>
              <w:br/>
              <w:t>&gt; Schwärze, Düsterkeit, Tod („und brodelt schwarz der Menge Brei“)</w:t>
            </w:r>
          </w:p>
          <w:p w14:paraId="1A78F762" w14:textId="77777777" w:rsidR="00181E4A" w:rsidRDefault="00C870CA">
            <w:pPr>
              <w:pStyle w:val="Tabellenstil2"/>
            </w:pPr>
            <w:r>
              <w:rPr>
                <w:rFonts w:ascii="Arial" w:hAnsi="Arial"/>
                <w:sz w:val="22"/>
                <w:szCs w:val="22"/>
              </w:rPr>
              <w:t>&gt; Personifikation („Häuser flattern“)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Gewalttätigkeit („Steine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ziehn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“, „Gehackt vom Schlag“, „Glut“)</w:t>
            </w:r>
            <w:r>
              <w:rPr>
                <w:rFonts w:ascii="Arial" w:hAnsi="Arial"/>
                <w:sz w:val="22"/>
                <w:szCs w:val="22"/>
              </w:rPr>
              <w:br/>
              <w:t>&gt; Entmenschlichung („Antlitze wie Tiere fremd“)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&gt; Leblosigkeit, Kühle, Leere („Augen wie in Eis geklemmt“, „Augen, die nur sich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besehn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“)</w:t>
            </w:r>
            <w:r>
              <w:rPr>
                <w:rFonts w:ascii="Arial" w:hAnsi="Arial"/>
                <w:sz w:val="22"/>
                <w:szCs w:val="22"/>
              </w:rPr>
              <w:br/>
              <w:t>&gt; Straße  als Mittel um die ‚Kriegsreise’ antreten zu können</w:t>
            </w:r>
          </w:p>
        </w:tc>
      </w:tr>
    </w:tbl>
    <w:p w14:paraId="6515366B" w14:textId="77777777" w:rsidR="00181E4A" w:rsidRDefault="00C870CA">
      <w:pPr>
        <w:pStyle w:val="Text"/>
      </w:pPr>
      <w:r>
        <w:rPr>
          <w:rFonts w:ascii="Arial" w:hAnsi="Arial"/>
          <w:b/>
          <w:bCs/>
          <w:sz w:val="24"/>
          <w:szCs w:val="24"/>
        </w:rPr>
        <w:t>Eine Reise durch die Zeit:</w:t>
      </w:r>
    </w:p>
    <w:sectPr w:rsidR="00181E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411EF" w14:textId="77777777" w:rsidR="00DF609A" w:rsidRDefault="00C870CA">
      <w:r>
        <w:separator/>
      </w:r>
    </w:p>
  </w:endnote>
  <w:endnote w:type="continuationSeparator" w:id="0">
    <w:p w14:paraId="6C1D56F7" w14:textId="77777777" w:rsidR="00DF609A" w:rsidRDefault="00C870CA">
      <w:r>
        <w:continuationSeparator/>
      </w:r>
    </w:p>
  </w:endnote>
  <w:endnote w:type="continuationNotice" w:id="1">
    <w:p w14:paraId="0B592127" w14:textId="77777777" w:rsidR="00EC3410" w:rsidRDefault="00EC3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2EE17" w14:textId="77777777" w:rsidR="00BC1829" w:rsidRDefault="00BC18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ED421" w14:textId="77777777" w:rsidR="00BC1829" w:rsidRDefault="00BC18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CFEE4" w14:textId="77777777" w:rsidR="00BC1829" w:rsidRDefault="00BC18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5EE05" w14:textId="77777777" w:rsidR="00DF609A" w:rsidRDefault="00C870CA">
      <w:r>
        <w:separator/>
      </w:r>
    </w:p>
  </w:footnote>
  <w:footnote w:type="continuationSeparator" w:id="0">
    <w:p w14:paraId="5FD42B2E" w14:textId="77777777" w:rsidR="00DF609A" w:rsidRDefault="00C870CA">
      <w:r>
        <w:continuationSeparator/>
      </w:r>
    </w:p>
  </w:footnote>
  <w:footnote w:type="continuationNotice" w:id="1">
    <w:p w14:paraId="66E7B550" w14:textId="77777777" w:rsidR="00EC3410" w:rsidRDefault="00EC34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70980" w14:textId="77777777" w:rsidR="00BC1829" w:rsidRDefault="00BC18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9781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4"/>
      <w:gridCol w:w="2872"/>
      <w:gridCol w:w="574"/>
      <w:gridCol w:w="1092"/>
      <w:gridCol w:w="4479"/>
    </w:tblGrid>
    <w:tr w:rsidR="009E151C" w14:paraId="73ED7D45" w14:textId="77777777" w:rsidTr="00BC1829">
      <w:trPr>
        <w:cantSplit/>
        <w:trHeight w:val="372"/>
        <w:tblHeader/>
      </w:trPr>
      <w:tc>
        <w:tcPr>
          <w:tcW w:w="764" w:type="dxa"/>
          <w:shd w:val="clear" w:color="auto" w:fill="808080" w:themeFill="background1" w:themeFillShade="80"/>
          <w:hideMark/>
        </w:tcPr>
        <w:p w14:paraId="075F8618" w14:textId="77777777" w:rsidR="009E151C" w:rsidRDefault="009E151C" w:rsidP="009E151C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40D70062" wp14:editId="133673F0">
                <wp:extent cx="347980" cy="129540"/>
                <wp:effectExtent l="0" t="0" r="0" b="3810"/>
                <wp:docPr id="2" name="Grafik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EBED1C89DB164A99878388441353A7D2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  <w:hideMark/>
            </w:tcPr>
            <w:p w14:paraId="76A7EBCE" w14:textId="77777777" w:rsidR="009E151C" w:rsidRDefault="009E151C" w:rsidP="009E151C">
              <w:pPr>
                <w:pStyle w:val="Kopfzeile"/>
                <w:tabs>
                  <w:tab w:val="left" w:pos="708"/>
                </w:tabs>
              </w:pPr>
              <w:r>
                <w:rPr>
                  <w:rFonts w:cstheme="minorHAnsi"/>
                  <w:color w:val="FFFFFF"/>
                </w:rPr>
                <w:t xml:space="preserve"> Neue </w:t>
              </w:r>
              <w:proofErr w:type="spellStart"/>
              <w:r>
                <w:rPr>
                  <w:rFonts w:cstheme="minorHAnsi"/>
                  <w:color w:val="FFFFFF"/>
                </w:rPr>
                <w:t>Medien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im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Deutschunterricht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   </w:t>
              </w:r>
            </w:p>
          </w:tc>
        </w:sdtContent>
      </w:sdt>
      <w:sdt>
        <w:sdtPr>
          <w:id w:val="-1721735710"/>
          <w:placeholder>
            <w:docPart w:val="EBED1C89DB164A99878388441353A7D2"/>
          </w:placeholder>
        </w:sdtPr>
        <w:sdtEndPr/>
        <w:sdtContent>
          <w:tc>
            <w:tcPr>
              <w:tcW w:w="4479" w:type="dxa"/>
              <w:shd w:val="clear" w:color="auto" w:fill="808080" w:themeFill="background1" w:themeFillShade="80"/>
              <w:vAlign w:val="center"/>
              <w:hideMark/>
            </w:tcPr>
            <w:p w14:paraId="230E3AAB" w14:textId="77777777" w:rsidR="009E151C" w:rsidRDefault="009E151C" w:rsidP="009E151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proofErr w:type="spellStart"/>
              <w:r>
                <w:rPr>
                  <w:rFonts w:cstheme="minorHAnsi"/>
                  <w:color w:val="FFFFFF"/>
                </w:rPr>
                <w:t>Reiselyrik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9E151C" w14:paraId="2BBE5BDD" w14:textId="77777777" w:rsidTr="00BC1829">
      <w:trPr>
        <w:cantSplit/>
        <w:trHeight w:val="367"/>
        <w:tblHeader/>
      </w:trPr>
      <w:tc>
        <w:tcPr>
          <w:tcW w:w="3636" w:type="dxa"/>
          <w:gridSpan w:val="2"/>
          <w:shd w:val="clear" w:color="auto" w:fill="D9D9D9" w:themeFill="background1" w:themeFillShade="D9"/>
          <w:vAlign w:val="center"/>
          <w:hideMark/>
        </w:tcPr>
        <w:p w14:paraId="78EBC762" w14:textId="77777777" w:rsidR="009E151C" w:rsidRDefault="009E151C" w:rsidP="009E151C">
          <w:proofErr w:type="spellStart"/>
          <w:r>
            <w:t>Kulturgeschichte</w:t>
          </w:r>
          <w:proofErr w:type="spellEnd"/>
          <w:r>
            <w:t xml:space="preserve"> des </w:t>
          </w:r>
          <w:proofErr w:type="spellStart"/>
          <w:r>
            <w:t>Reisens</w:t>
          </w:r>
          <w:proofErr w:type="spellEnd"/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084CFC9B" w14:textId="77777777" w:rsidR="009E151C" w:rsidRDefault="009E151C" w:rsidP="009E151C">
          <w:pPr>
            <w:pStyle w:val="Kopfzeile"/>
          </w:pPr>
        </w:p>
      </w:tc>
      <w:tc>
        <w:tcPr>
          <w:tcW w:w="5571" w:type="dxa"/>
          <w:gridSpan w:val="2"/>
          <w:shd w:val="clear" w:color="auto" w:fill="D9D9D9" w:themeFill="background1" w:themeFillShade="D9"/>
          <w:vAlign w:val="center"/>
          <w:hideMark/>
        </w:tcPr>
        <w:p w14:paraId="0C837F7B" w14:textId="45188756" w:rsidR="009E151C" w:rsidRDefault="009E151C" w:rsidP="009E151C">
          <w:pPr>
            <w:pStyle w:val="Kopfzeile"/>
            <w:jc w:val="right"/>
          </w:pPr>
          <w:proofErr w:type="spellStart"/>
          <w:r>
            <w:t>Epoche</w:t>
          </w:r>
          <w:proofErr w:type="spellEnd"/>
          <w:r>
            <w:t xml:space="preserve"> </w:t>
          </w:r>
          <w:proofErr w:type="spellStart"/>
          <w:r>
            <w:t>Lösung</w:t>
          </w:r>
          <w:r w:rsidR="00CA375E">
            <w:t>sblatt</w:t>
          </w:r>
          <w:proofErr w:type="spellEnd"/>
        </w:p>
      </w:tc>
    </w:tr>
  </w:tbl>
  <w:p w14:paraId="1BD33C57" w14:textId="77777777" w:rsidR="00181E4A" w:rsidRDefault="00181E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7A446" w14:textId="77777777" w:rsidR="00BC1829" w:rsidRDefault="00BC182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E4A"/>
    <w:rsid w:val="0016233A"/>
    <w:rsid w:val="00181E4A"/>
    <w:rsid w:val="009E151C"/>
    <w:rsid w:val="00B35B96"/>
    <w:rsid w:val="00BC1829"/>
    <w:rsid w:val="00BE670A"/>
    <w:rsid w:val="00C870CA"/>
    <w:rsid w:val="00CA375E"/>
    <w:rsid w:val="00D67CFC"/>
    <w:rsid w:val="00DF609A"/>
    <w:rsid w:val="00EC3410"/>
    <w:rsid w:val="00F2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B52A"/>
  <w15:docId w15:val="{CAA0BA63-8934-9F4B-A79A-9E5F428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Text">
    <w:name w:val="Text"/>
    <w:rPr>
      <w:rFonts w:ascii="Helvetica" w:hAnsi="Helvetica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1">
    <w:name w:val="Tabellenstil 1"/>
    <w:rPr>
      <w:rFonts w:ascii="Helvetica" w:eastAsia="Helvetica" w:hAnsi="Helvetica" w:cs="Helvetica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EC34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C3410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EC34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C3410"/>
    <w:rPr>
      <w:sz w:val="24"/>
      <w:szCs w:val="24"/>
      <w:lang w:val="en-US" w:eastAsia="en-US"/>
    </w:rPr>
  </w:style>
  <w:style w:type="table" w:customStyle="1" w:styleId="TableNormal1">
    <w:name w:val="Table Normal1"/>
    <w:rsid w:val="00EC34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9E15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ED1C89DB164A99878388441353A7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3B04D-8283-475A-859C-4B047405EB7E}"/>
      </w:docPartPr>
      <w:docPartBody>
        <w:p w:rsidR="004D5FF9" w:rsidRDefault="00436CBF" w:rsidP="00436CBF">
          <w:pPr>
            <w:pStyle w:val="EBED1C89DB164A99878388441353A7D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BF"/>
    <w:rsid w:val="00436CBF"/>
    <w:rsid w:val="004D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6CBF"/>
  </w:style>
  <w:style w:type="paragraph" w:customStyle="1" w:styleId="EBED1C89DB164A99878388441353A7D2">
    <w:name w:val="EBED1C89DB164A99878388441353A7D2"/>
    <w:rsid w:val="00436C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3447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Fim</dc:creator>
  <cp:lastModifiedBy>Michael Kazenwadel</cp:lastModifiedBy>
  <cp:revision>5</cp:revision>
  <dcterms:created xsi:type="dcterms:W3CDTF">2020-08-25T10:50:00Z</dcterms:created>
  <dcterms:modified xsi:type="dcterms:W3CDTF">2020-08-25T11:15:00Z</dcterms:modified>
</cp:coreProperties>
</file>